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sz w:val="22"/>
          <w:szCs w:val="22"/>
        </w:rPr>
      </w:pPr>
      <w:r>
        <w:rPr>
          <w:sz w:val="22"/>
          <w:szCs w:val="22"/>
          <w:lang w:val="ru-RU" w:eastAsia="en-US" w:bidi="ar-SA"/>
        </w:rPr>
        <w:t>Пояснительная</w:t>
      </w:r>
      <w:r>
        <w:rPr>
          <w:rFonts w:eastAsia="SimSun" w:cs="Calibri"/>
          <w:b w:val="false"/>
          <w:bCs w:val="false"/>
          <w:caps/>
          <w:color w:val="00000A"/>
          <w:kern w:val="0"/>
          <w:sz w:val="22"/>
          <w:szCs w:val="22"/>
          <w:lang w:val="ru-RU" w:eastAsia="en-US" w:bidi="ar-SA"/>
        </w:rPr>
        <w:t xml:space="preserve"> </w:t>
      </w:r>
      <w:r>
        <w:rPr>
          <w:sz w:val="22"/>
          <w:szCs w:val="22"/>
          <w:lang w:val="ru-RU" w:eastAsia="en-US" w:bidi="ar-SA"/>
        </w:rPr>
        <w:t>записка</w:t>
      </w:r>
      <w:r>
        <w:rPr>
          <w:b w:val="false"/>
          <w:bCs w:val="false"/>
          <w:caps/>
          <w:sz w:val="22"/>
          <w:szCs w:val="22"/>
        </w:rPr>
        <w:br/>
      </w:r>
      <w:r>
        <w:rPr>
          <w:b w:val="false"/>
          <w:bCs w:val="false"/>
          <w:sz w:val="22"/>
          <w:szCs w:val="22"/>
        </w:rPr>
        <w:t xml:space="preserve">к проекту решения Челябинской городской Думы «О внесении изменений </w:t>
        <w:br/>
        <w:t xml:space="preserve">в решение Челябинской городской Думы от 29.08.2023 № 41/23 </w:t>
        <w:br/>
        <w:t>«</w:t>
      </w:r>
      <w:r>
        <w:rPr>
          <w:b w:val="false"/>
          <w:bCs w:val="false"/>
          <w:spacing w:val="6"/>
          <w:sz w:val="22"/>
          <w:szCs w:val="22"/>
        </w:rPr>
        <w:t xml:space="preserve">Об утверждении </w:t>
      </w:r>
      <w:bookmarkStart w:id="0" w:name="__DdeLink__2710_1142068817"/>
      <w:r>
        <w:rPr>
          <w:b w:val="false"/>
          <w:bCs w:val="false"/>
          <w:spacing w:val="6"/>
          <w:sz w:val="22"/>
          <w:szCs w:val="22"/>
        </w:rPr>
        <w:t>Правил землепользования и застройки города Челябинска</w:t>
      </w:r>
      <w:bookmarkEnd w:id="0"/>
      <w:r>
        <w:rPr>
          <w:b w:val="false"/>
          <w:bCs w:val="false"/>
          <w:sz w:val="22"/>
          <w:szCs w:val="22"/>
        </w:rPr>
        <w:t>»</w:t>
      </w:r>
    </w:p>
    <w:p>
      <w:pPr>
        <w:pStyle w:val="Normal"/>
        <w:spacing w:lineRule="auto" w:line="240"/>
        <w:jc w:val="both"/>
        <w:rPr/>
      </w:pPr>
      <w:r>
        <w:rPr>
          <w:rStyle w:val="612pt"/>
          <w:rFonts w:eastAsia="SimSun" w:cs="Calibri"/>
          <w:color w:val="00000A"/>
          <w:kern w:val="2"/>
          <w:sz w:val="22"/>
          <w:szCs w:val="22"/>
          <w:lang w:eastAsia="en-US"/>
        </w:rPr>
        <w:t xml:space="preserve">Необходимость внесения изменений в решение Челябинской городской Думы от 29.09.2023       № 41/23 «Об утверждении Правил землепользования и застройки города Челябинска» </w:t>
      </w:r>
      <w:r>
        <w:rPr>
          <w:rStyle w:val="612pt"/>
          <w:rFonts w:eastAsia="SimSun" w:cs="Calibri"/>
          <w:color w:val="00000A"/>
          <w:kern w:val="2"/>
          <w:sz w:val="22"/>
          <w:szCs w:val="22"/>
          <w:lang w:val="ru-RU" w:eastAsia="en-US"/>
        </w:rPr>
        <w:t xml:space="preserve">обусловлена наличием ошибок технического характера в </w:t>
      </w:r>
      <w:r>
        <w:rPr>
          <w:rStyle w:val="612pt"/>
          <w:rFonts w:eastAsia="Times New Roman" w:cs="Calibri"/>
          <w:color w:val="000000"/>
          <w:spacing w:val="-4"/>
          <w:kern w:val="2"/>
          <w:sz w:val="22"/>
          <w:szCs w:val="22"/>
          <w:lang w:val="ru-RU" w:eastAsia="zxx"/>
        </w:rPr>
        <w:t>приложении 1 «Часть 1. Порядок применения Правил землепользования и застройки города Челябинска и внесения в них изменений»</w:t>
      </w:r>
      <w:r>
        <w:rPr>
          <w:rStyle w:val="612pt"/>
          <w:rFonts w:eastAsia="SimSun" w:cs="Calibri"/>
          <w:color w:val="00000A"/>
          <w:kern w:val="2"/>
          <w:sz w:val="22"/>
          <w:szCs w:val="22"/>
          <w:lang w:val="ru-RU" w:eastAsia="en-US"/>
        </w:rPr>
        <w:t xml:space="preserve"> с целью их приведения                  в соответствие с нормами Градостроительного кодекса Российской Федерации и технической корректировки.</w:t>
      </w:r>
    </w:p>
    <w:p>
      <w:pPr>
        <w:pStyle w:val="Normal"/>
        <w:spacing w:lineRule="auto" w:line="240"/>
        <w:jc w:val="both"/>
        <w:rPr/>
      </w:pPr>
      <w:r>
        <w:rPr>
          <w:rStyle w:val="612pt"/>
          <w:rFonts w:eastAsia="SimSun" w:cs="Calibri"/>
          <w:color w:val="00000A"/>
          <w:kern w:val="2"/>
          <w:sz w:val="22"/>
          <w:szCs w:val="22"/>
          <w:lang w:val="ru-RU" w:eastAsia="en-US"/>
        </w:rPr>
        <w:t>Принятие проекта решения городской Думы не повлечет выделения финансовых средств                 из бюджета города Челябинска и не потребует принятия, отмены, корректировки иных муниципальных правовых актов.</w:t>
      </w:r>
    </w:p>
    <w:p>
      <w:pPr>
        <w:pStyle w:val="Normal"/>
        <w:spacing w:lineRule="auto" w:line="240"/>
        <w:jc w:val="both"/>
        <w:rPr/>
      </w:pPr>
      <w:r>
        <w:rPr>
          <w:rStyle w:val="612pt"/>
          <w:rFonts w:eastAsia="SimSun" w:cs="Calibri"/>
          <w:color w:val="00000A"/>
          <w:kern w:val="2"/>
          <w:sz w:val="22"/>
          <w:szCs w:val="22"/>
          <w:lang w:val="ru-RU" w:eastAsia="en-US"/>
        </w:rPr>
        <w:t xml:space="preserve">Необходимость внесения изменений в решение Челябинской городской Думы от 29.09.2023     № 41/23 «Об утверждении Правил землепользования и застройки города Челябинска» в </w:t>
      </w:r>
      <w:r>
        <w:rPr>
          <w:rStyle w:val="612pt"/>
          <w:rFonts w:eastAsia="Times New Roman" w:cs="Calibri"/>
          <w:color w:val="auto"/>
          <w:spacing w:val="-4"/>
          <w:kern w:val="0"/>
          <w:sz w:val="22"/>
          <w:szCs w:val="22"/>
          <w:lang w:val="ru-RU" w:eastAsia="zxx"/>
        </w:rPr>
        <w:t xml:space="preserve">приложение 2 «Часть 2. Градостроительные регламенты» обусловлена следующим: </w:t>
      </w:r>
    </w:p>
    <w:p>
      <w:pPr>
        <w:pStyle w:val="Normal"/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1. В соответствии с Правилами землепользования и застройки города Челябинска (далее – Правила), утвержденными решением Челябинской городской Думы от 29.08.2023 № 41/23, пунктами 6 примечаний к таблицам градостроительных регламентов для территориальных зон Б.3.1 «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С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мешанная зона в зонах развития», Б.3.2 «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С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мешанная зона в зонах стабилизации» и пунктами 4 примечаний к таблицам градостроительных регламентов для территориальных зон Б.3.3 «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С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мешанная зона реновации в зонах развития», Б.3.4 «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С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мешанная зона реновации в зонах стабилизации» (далее – Б.3.1, Б.3.2, Б.3.3, Б.3.4) установлено следующее условие:</w:t>
      </w:r>
    </w:p>
    <w:p>
      <w:pPr>
        <w:pStyle w:val="Normal"/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«В территориальной зоне (Б.3.1, Б.3.2, Б.3.3, Б.3.4) коэффициент строительного использования всех объектов капитального строительства следующих видов разрешенного использования: (2.1.1) малоэтажная многоквартирная жилая застройка, (2.3) блокированная жилая застройка, (2.5) среднеэтажная жилая застройка, (2.6) многоэтажная жилая застройка (высотная застройка) не может превышать 80 % от коэффициента строительного использования данной зоны».</w:t>
      </w:r>
    </w:p>
    <w:p>
      <w:pPr>
        <w:pStyle w:val="Normal"/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 xml:space="preserve">Согласно Классификатору видов разрешенного использования земельных участков (далее – Классификатор), утвержденному приказом Федеральной службы </w:t>
      </w:r>
      <w:r>
        <w:rPr>
          <w:rFonts w:eastAsia="SimSun" w:cs="Calibri"/>
          <w:b w:val="false"/>
          <w:bCs w:val="false"/>
          <w:i w:val="false"/>
          <w:iC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  <w:lang w:eastAsia="en-US"/>
        </w:rPr>
        <w:t>государственной регистрации, кадастра и картографии от 10.11.2020 № П/0412, виды разрешенного использования земельных участков, обозначенные перечисленными выше кодами 2.1.1, 2.3, 2.5, 2.6, подразумевают размещение, наряду с жилыми помещениями, объектов обслуживания жилой застройки                          во встроенных, пристроенных и встроенно-пристроенных помещениях.</w:t>
      </w:r>
    </w:p>
    <w:p>
      <w:pPr>
        <w:pStyle w:val="Normal"/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  <w:lang w:eastAsia="en-US"/>
        </w:rPr>
        <w:t xml:space="preserve">Соответственно, </w:t>
      </w:r>
      <w:r>
        <w:rPr>
          <w:rFonts w:eastAsia="SimSun" w:cs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 xml:space="preserve">возникает неоднозначная интерпретация приведенного выше условия, установленного Правилами, в части соблюдения 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коэффициента строительного использования                    для жилой застройки в границах ряда общественно-деловых территориальных зонах Б.</w:t>
      </w:r>
    </w:p>
    <w:p>
      <w:pPr>
        <w:pStyle w:val="Normal"/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  <w:lang w:eastAsia="en-US"/>
        </w:rPr>
        <w:t xml:space="preserve">В целях исключения </w:t>
      </w:r>
      <w:r>
        <w:rPr>
          <w:rFonts w:eastAsia="SimSun" w:cs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 xml:space="preserve">возникающей неопределенности и </w:t>
      </w:r>
      <w:r>
        <w:rPr>
          <w:rFonts w:eastAsia="SimSun" w:cs="Calibri"/>
          <w:b w:val="false"/>
          <w:bCs w:val="false"/>
          <w:i w:val="false"/>
          <w:iC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  <w:lang w:eastAsia="en-US"/>
        </w:rPr>
        <w:t xml:space="preserve">неоднозначного понимания                      </w:t>
      </w:r>
      <w:r>
        <w:rPr>
          <w:rFonts w:eastAsia="SimSun" w:cs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 xml:space="preserve">в отношении определения 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 xml:space="preserve">коэффициента строительного использования всех объектов капитального строительства, относящихся к видам разрешенного использования с кодами 2.1.1, 2.3, 2.5, 2.6, 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считаю необходимым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 xml:space="preserve"> внести в Правила следующ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ее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 xml:space="preserve"> примечани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е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 xml:space="preserve"> для территориальных зон Б.3.1, Б.3.2, Б.3.3, Б.3.4:</w:t>
      </w:r>
    </w:p>
    <w:p>
      <w:pPr>
        <w:pStyle w:val="Normal"/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«Сумма общих помещений, выполняющих жилую функцию (в том числе необходимых                      для эксплуатации жилых помещений и относимых к общему имуществу многоквартирных домов),                      не может превышать 80 % от суммы общих площадей всех объектов капитального строительства                  в данной территориальной зоне в границах элемента планировочной структуры».</w:t>
      </w:r>
    </w:p>
    <w:p>
      <w:pPr>
        <w:pStyle w:val="Normal"/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2. В соответствии с Правилами пунктом 3 примечаний к таблице градостроительных регламентов для территориальной зоны Б.8 «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З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она перспективной высотной застройки» установлено следующее условие:</w:t>
      </w:r>
    </w:p>
    <w:p>
      <w:pPr>
        <w:pStyle w:val="Normal"/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«3. В территориальной зоне Б.8 жилая функция не может превышать 70 % общей площади объектов капитального строительства в данной зоне».</w:t>
      </w:r>
    </w:p>
    <w:p>
      <w:pPr>
        <w:pStyle w:val="Normal"/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В данном случае понятие «жилая функция» также требует исключения неоднозначного понимания определения в рамках ДПТ данного показателя.</w:t>
      </w:r>
    </w:p>
    <w:p>
      <w:pPr>
        <w:pStyle w:val="Normal"/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Согласно Классификатору вид разрешенного использования земельных участков, обозначенный кодом 2.0 – жилая застройка, которая подразумевает размещение жилых домов различного вида, содержание данного вида разрешенного использования включает в себя содержание видов разрешенного использования с кодами 2.1 - 2.3, 2.5 - 2.7.1; причем, например, код 2.7.1 подразумевает 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                        за исключением гаражей, размещение которых предусмотрено содержанием видов разрешенного использования с кодами 2.7.2, 4.9.</w:t>
      </w:r>
    </w:p>
    <w:p>
      <w:pPr>
        <w:pStyle w:val="Normal"/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 xml:space="preserve">С целью исключения неопределенности и неоднозначного понимания определения «численного» показателя «жилая функция», а также установления преобладания «жилой функции»                    не более 70 % от общей площади всех объектов капитального строительства, 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считаю необходимым</w:t>
      </w: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 xml:space="preserve">  внести в Правила следующий вариант содержания пункта 3 примечаний к таблице градостроительных регламентов для территориальной зоны Б.8 «Зона перспективной высотной застройки» в следующей редакции: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>«Сумма общих помещений, выполняющих жилую функцию (в том числе  необходимых                  для эксплуатации жилых помещений и относимых к общему имуществу многоквартирных домов),                       не может превышать 70 % от суммы общих площадей всех объектов капитального строительства                   в данной территориальной зоне в границах элемента планировочной структуры».</w:t>
      </w:r>
    </w:p>
    <w:p>
      <w:pPr>
        <w:pStyle w:val="Normal"/>
        <w:spacing w:lineRule="auto" w:line="240"/>
        <w:ind w:left="0" w:right="0" w:firstLine="709"/>
        <w:jc w:val="both"/>
        <w:rPr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bidi="ar-SA"/>
        </w:rPr>
      </w:pP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bidi="ar-SA"/>
        </w:rPr>
      </w:r>
    </w:p>
    <w:p>
      <w:pPr>
        <w:pStyle w:val="Normal"/>
        <w:spacing w:lineRule="auto" w:line="240"/>
        <w:ind w:left="0" w:right="0" w:firstLine="709"/>
        <w:jc w:val="both"/>
        <w:rPr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bidi="ar-SA"/>
        </w:rPr>
      </w:pP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bidi="ar-SA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/>
        <w:ind w:hanging="0"/>
        <w:rPr>
          <w:sz w:val="22"/>
          <w:szCs w:val="22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t xml:space="preserve">Начальник Управления </w:t>
      </w:r>
      <w:bookmarkStart w:id="1" w:name="_GoBack"/>
      <w:bookmarkEnd w:id="1"/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  <w:br/>
        <w:t xml:space="preserve">по архитектурно-градостроительному </w:t>
        <w:br/>
        <w:t>проектированию города Челябинска                                                                                      О. С. Никитина</w:t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ascii="Times New Roman" w:hAnsi="Times New Roman"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ascii="Times New Roman" w:hAnsi="Times New Roman"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ascii="Times New Roman" w:hAnsi="Times New Roman"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ascii="Times New Roman" w:hAnsi="Times New Roman"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2"/>
          <w:sz w:val="22"/>
          <w:szCs w:val="22"/>
          <w:u w:val="none"/>
          <w:shd w:fill="auto" w:val="clear"/>
          <w:vertAlign w:val="baseline"/>
          <w:em w:val="none"/>
          <w:lang w:val="ru-RU" w:eastAsia="en-US" w:bidi="ar-SA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rFonts w:eastAsia="SimSun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u w:val="none"/>
          <w:shd w:fill="auto" w:val="clear"/>
          <w:vertAlign w:val="baseline"/>
          <w:em w:val="none"/>
          <w:lang w:val="ru-RU" w:eastAsia="en-US" w:bidi="ar-SA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sz w:val="21"/>
          <w:szCs w:val="21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sz w:val="21"/>
          <w:szCs w:val="21"/>
          <w:u w:val="none"/>
          <w:shd w:fill="auto" w:val="clear"/>
          <w:vertAlign w:val="baseline"/>
          <w:em w:val="none"/>
          <w:lang w:val="ru-RU" w:eastAsia="en-US" w:bidi="ar-SA"/>
        </w:rPr>
        <w:t xml:space="preserve">Кристина Станиславовна Ерушникова </w:t>
      </w:r>
    </w:p>
    <w:p>
      <w:pPr>
        <w:pStyle w:val="Normal"/>
        <w:tabs>
          <w:tab w:val="clear" w:pos="709"/>
          <w:tab w:val="right" w:pos="9355" w:leader="none"/>
        </w:tabs>
        <w:spacing w:lineRule="auto" w:line="240" w:before="0" w:after="0"/>
        <w:ind w:hanging="0"/>
        <w:rPr>
          <w:sz w:val="21"/>
          <w:szCs w:val="21"/>
        </w:rPr>
      </w:pPr>
      <w:r>
        <w:rPr>
          <w:rFonts w:eastAsia="SimSun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2"/>
          <w:position w:val="0"/>
          <w:sz w:val="21"/>
          <w:sz w:val="21"/>
          <w:szCs w:val="21"/>
          <w:u w:val="none"/>
          <w:shd w:fill="auto" w:val="clear"/>
          <w:vertAlign w:val="baseline"/>
          <w:em w:val="none"/>
          <w:lang w:val="ru-RU" w:eastAsia="en-US" w:bidi="ar-SA"/>
        </w:rPr>
        <w:t>263 58 63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ind w:firstLine="709"/>
      <w:jc w:val="left"/>
    </w:pPr>
    <w:rPr>
      <w:rFonts w:ascii="Times New Roman" w:hAnsi="Times New Roman" w:eastAsia="SimSun" w:cs="Calibri"/>
      <w:color w:val="00000A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5" w:customStyle="1">
    <w:name w:val="Выделение жирным"/>
    <w:qFormat/>
    <w:rPr>
      <w:b/>
      <w:bCs/>
    </w:rPr>
  </w:style>
  <w:style w:type="character" w:styleId="8">
    <w:name w:val="Основной шрифт абзаца8"/>
    <w:qFormat/>
    <w:rPr/>
  </w:style>
  <w:style w:type="character" w:styleId="Style16">
    <w:name w:val="Основной шрифт абзаца"/>
    <w:qFormat/>
    <w:rPr/>
  </w:style>
  <w:style w:type="character" w:styleId="612pt">
    <w:name w:val="Основной текст (6) + 12 pt"/>
    <w:qFormat/>
    <w:rPr>
      <w:rFonts w:ascii="Times New Roman" w:hAnsi="Times New Roman" w:cs="Times New Roman"/>
      <w:spacing w:val="0"/>
      <w:sz w:val="24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Title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Style23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Application>LibreOffice/7.0.0.3$Windows_X86_64 LibreOffice_project/8061b3e9204bef6b321a21033174034a5e2ea88e</Application>
  <Pages>2</Pages>
  <Words>678</Words>
  <Characters>4959</Characters>
  <CharactersWithSpaces>5982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2020-11-30T08:15:00Z</dcterms:created>
  <dc:creator>Чугреева</dc:creator>
  <dc:description/>
  <dc:language>ru</dc:language>
  <cp:lastModifiedBy/>
  <cp:lastPrinted>2024-07-08T17:39:23Z</cp:lastPrinted>
  <dcterms:modified xsi:type="dcterms:W3CDTF">2024-07-09T10:35:55Z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