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Сводный отчет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о проведении оценки регулирующего воздействия проекта </w:t>
      </w:r>
      <w:r>
        <w:rPr>
          <w:rFonts w:cs="PT Astra Serif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приказа Министерства дорожного хозяйства и транспорта Челябинской области «</w:t>
      </w:r>
      <w:r>
        <w:rPr>
          <w:rFonts w:eastAsia="NSimSun" w:cs="Times New Roman" w:ascii="Times New Roman" w:hAnsi="Times New Roman"/>
          <w:b w:val="false"/>
          <w:bCs/>
          <w:color w:val="000000"/>
          <w:kern w:val="2"/>
          <w:sz w:val="24"/>
          <w:szCs w:val="24"/>
          <w:lang w:eastAsia="ru-RU" w:bidi="hi-IN"/>
        </w:rPr>
        <w:t>Об утверждении Порядка организации и проведения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</w:t>
      </w:r>
      <w:r>
        <w:rPr>
          <w:rFonts w:cs="PT Astra Serif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PT Astra Serif"/>
          <w:b w:val="false"/>
          <w:b w:val="false"/>
          <w:bCs w:val="false"/>
          <w:color w:val="000000"/>
          <w:lang w:eastAsia="ru-RU"/>
        </w:rPr>
      </w:pPr>
      <w:r>
        <w:rPr>
          <w:rFonts w:cs="PT Astra Serif" w:ascii="Times New Roman" w:hAnsi="Times New Roman"/>
          <w:b w:val="false"/>
          <w:bCs w:val="false"/>
          <w:color w:val="000000"/>
          <w:lang w:eastAsia="ru-RU"/>
        </w:rPr>
      </w:r>
    </w:p>
    <w:tbl>
      <w:tblPr>
        <w:tblW w:w="96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8702"/>
        <w:gridCol w:w="51"/>
      </w:tblGrid>
      <w:tr>
        <w:trPr>
          <w:trHeight w:val="621" w:hRule="atLeast"/>
        </w:trPr>
        <w:tc>
          <w:tcPr>
            <w:tcW w:w="9572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42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Общая информация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Орган исполнительной власти – разработчик проекта нормативного правового акта (далее - разработчик):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Министерство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дорожного хозяйства и транспорта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Челябинской области (далее  именуется – Министерство)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Вид и наименование проекта нормативного правового акта: </w:t>
            </w:r>
            <w:r>
              <w:rPr>
                <w:rFonts w:eastAsia="Calibri" w:cs="PT Astra Serif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приказ Министерства дорожного хозяйства и транспорта Челябинской области «</w:t>
            </w:r>
            <w:r>
              <w:rPr>
                <w:rFonts w:eastAsia="NSimSun" w:cs="Times New Roman" w:ascii="Times New Roman" w:hAnsi="Times New Roman"/>
                <w:b w:val="false"/>
                <w:bCs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hi-IN"/>
              </w:rPr>
              <w:t>Об утверждении Порядка организации и проведения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</w:t>
            </w:r>
            <w:r>
              <w:rPr>
                <w:rFonts w:eastAsia="Calibri" w:cs="PT Astra Serif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(далее именуется –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проект Приказа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)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1.3.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Основание для разработки проекта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Приказа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: полномочие Министерства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по установлени</w:t>
            </w:r>
            <w:r>
              <w:rPr>
                <w:rFonts w:eastAsia="Source Han Sans CN Regular;Times New Roman" w:cs="Times New Roman" w:ascii="Times New Roman" w:hAnsi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ru-RU"/>
              </w:rPr>
              <w:t>ю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порядка организации и проведения открытого конкурса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8"/>
                <w:lang w:val="ru-RU" w:eastAsia="ru-RU" w:bidi="ar-SA"/>
              </w:rPr>
              <w:t>устанавливаемое проектом Закона о внесении изменений в Закон Челябинской области от 30.12.2015 г. № 293-ЗО «Об организации регулярных перевозок пассажиров и багажа в Челябинской области» (по состоянию на 03.10.2023 находится на рассмотрении в Законодательном Собрании Челябинской области)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1.4.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Предполагаемая дата вступления в силу проекта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Приказа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декабрь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 202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года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Контактная информация исполнителя разработчика: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1.5.1.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Ф.И.О.: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Зайцев Илья Андреевич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1.5.2.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Должность: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ведущий специалист-эксперт отдела пассажирских перевозок Управления транспорта Министерства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1.5.3.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Тел: 8 (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351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) 26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0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50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48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1.5.4.</w:t>
            </w:r>
          </w:p>
        </w:tc>
        <w:tc>
          <w:tcPr>
            <w:tcW w:w="8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Адрес электронной почты: i</w:t>
            </w:r>
            <w:hyperlink r:id="rId2">
              <w:r>
                <w:rPr>
                  <w:rFonts w:eastAsia="Calibri" w:cs="Times New Roman" w:ascii="Times New Roman" w:hAnsi="Times New Roman"/>
                  <w:i w:val="false"/>
                  <w:iCs w:val="false"/>
                  <w:kern w:val="0"/>
                  <w:sz w:val="24"/>
                  <w:szCs w:val="24"/>
                  <w:lang w:val="en-US" w:eastAsia="en-US" w:bidi="ar-SA"/>
                </w:rPr>
                <w:t>.zaitsev@mindortrans74.ru</w:t>
              </w:r>
            </w:hyperlink>
          </w:p>
        </w:tc>
      </w:tr>
    </w:tbl>
    <w:p>
      <w:pPr>
        <w:pStyle w:val="ListParagraph"/>
        <w:ind w:left="-14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-14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Степень регулирующего воздействия положений проекта акта</w:t>
      </w:r>
    </w:p>
    <w:tbl>
      <w:tblPr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7174"/>
        <w:gridCol w:w="1532"/>
      </w:tblGrid>
      <w:tr>
        <w:trPr/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Степень регулирующего воздействия положений проекта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Приказа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высокая</w:t>
            </w:r>
          </w:p>
        </w:tc>
      </w:tr>
      <w:tr>
        <w:trPr>
          <w:trHeight w:val="794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2.2.</w:t>
            </w:r>
          </w:p>
        </w:tc>
        <w:tc>
          <w:tcPr>
            <w:tcW w:w="8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Обоснование отнесения к определенной степени регулирующего воздействия: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Проект Приказа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 содержит положения, з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атрагивающие неопределенное число хозяйствующих субъектов, относящихся к категории автомобильных перевозчиков, осуществляющих регулярные перевозки пассажиров и багажа по межмуниципальным маршрутам регулярных перевозок.</w:t>
            </w:r>
          </w:p>
        </w:tc>
      </w:tr>
    </w:tbl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753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3.1.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Проект П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риказа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направлен на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нормативно-правовое закрепление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мероприятий и процедур, связанных с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проведени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ем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открытого конкурса на право получения 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свидетельств об осуществлении перевозок по одному или нескольким межмуниципальным маршрутам регулярных перевозок. Иной способ регулирования не может быть предусмотрен.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3.2.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Негативные эффекты, возникающие в связи с наличием проблемы: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Отсутствие нормативно-правовой регламентации с учетом действующего обычая (определение по статье 5 ГК РФ) организации и проведения открытых конкурсов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 право получения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ar-SA"/>
              </w:rPr>
              <w:t xml:space="preserve">свидетельств об осуществлении перевозок по одному или нескольким межмуниципальным маршрутам регулярных перевозок, применяемого Министерством,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создает риск возникновения неопределенности при осуществлении процедур, связанных с организацией и/или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</w:t>
            </w:r>
            <w:r>
              <w:rPr>
                <w:rFonts w:eastAsia="Source Han Sans CN Regular;Times New Roman" w:cs="Times New Roman" w:ascii="Times New Roman" w:hAnsi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ru-RU"/>
              </w:rPr>
              <w:t>ем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открытого конкурса.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3.3.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Основные причины и факторы существования проблемы: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Отсутствие полномочия по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установлени</w:t>
            </w:r>
            <w:r>
              <w:rPr>
                <w:rFonts w:eastAsia="Source Han Sans CN Regular;Times New Roman" w:cs="Times New Roman" w:ascii="Times New Roman" w:hAnsi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ru-RU"/>
              </w:rPr>
              <w:t>ю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порядка организации и проведения открытого конкурса в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8"/>
                <w:lang w:val="ru-RU" w:eastAsia="ru-RU" w:bidi="ar-SA"/>
              </w:rPr>
              <w:t>Законе Челябинской области от 30.12.2015 г.</w:t>
              <w:br/>
              <w:t>№ 293-ЗО «Об организации регулярных перевозок пассажиров и багажа в Челябинской области».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3.3.1.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Информация о возникновении, выявлении проблемы и мерах, принятых ранее для ее решения, достигнутых результатах и затраченных ресурсах: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firstLine="709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Мера: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При возникновении проблемы Министерством инициировано внесение изменений в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8"/>
                <w:lang w:val="ru-RU" w:eastAsia="ru-RU" w:bidi="ar-SA"/>
              </w:rPr>
              <w:t xml:space="preserve">Закон Челябинской области от 30.12.2015 г. № 293-ЗО «Об организации регулярных перевозок пассажиров и багажа в Челябинской области» в части в том числе установления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полномочия Министерства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по установлени</w:t>
            </w:r>
            <w:r>
              <w:rPr>
                <w:rFonts w:eastAsia="Source Han Sans CN Regular;Times New Roman" w:cs="Times New Roman" w:ascii="Times New Roman" w:hAnsi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ru-RU"/>
              </w:rPr>
              <w:t>ю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порядка организации и проведения открытого конкурса.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3.4.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Решение проблемы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 без вмешательства государства невозможно.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3.5.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6226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Источники данных: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Министерство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-14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4.Цели регулирования</w:t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811"/>
        <w:gridCol w:w="566"/>
        <w:gridCol w:w="2376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Описание целей предлагаемого регулирования, их соотношение с проблемой: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нормативно-правовое закрепление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мероприятий и процедур, связанных с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проведени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ем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открытого конкурса на право получения 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свидетельств об осуществлении перевозок по одному или нескольким межмуниципальным маршрутам регулярных перевозок.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08" w:right="-108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4.2.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34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Установленные сроки достижения                                               целей предполагаемого регулирования: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Декабрь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202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3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года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4.3.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 w:val="false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Документы, содержащие принципы правового регулирования, программные документы Правительства Челябинской области с указанием положений, которым соответствуют цели предлагаемого регулирования: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0" w:right="0" w:firstLine="709"/>
              <w:jc w:val="both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Закон Челябинской области от 30.12.2015 г. № 293-ЗО «Об организации регулярных перевозок пассажиров и багажа в Челябинской области» (положени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е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 пункта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 части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 после внесения изменений в данный Закон).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4.4.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hanging="0"/>
              <w:rPr>
                <w:sz w:val="24"/>
                <w:szCs w:val="24"/>
              </w:rPr>
            </w:pPr>
            <w:r>
              <w:rPr>
                <w:rFonts w:eastAsia="Calibri"/>
                <w:b w:val="false"/>
                <w:kern w:val="0"/>
                <w:sz w:val="24"/>
                <w:szCs w:val="24"/>
                <w:lang w:val="ru-RU" w:eastAsia="en-US" w:bidi="ar-SA"/>
              </w:rPr>
              <w:t xml:space="preserve">Иная информация о целях предлагаемого регулирования: </w:t>
            </w:r>
            <w:r>
              <w:rPr>
                <w:b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отсутствует</w:t>
            </w:r>
          </w:p>
        </w:tc>
      </w:tr>
    </w:tbl>
    <w:p>
      <w:pPr>
        <w:pStyle w:val="ListParagraph"/>
        <w:ind w:left="0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Описание предлагаемого регулирования и иных возможных способов решения проблемы</w:t>
      </w:r>
    </w:p>
    <w:tbl>
      <w:tblPr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753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5.1.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предлагаемого способа решения проблемы и преодоления связанных с ним негативных эффектов: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Утверждение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проекта Приказа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обеспечит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нормативно-правовое закрепление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мероприятий и процедур, связанных с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проведени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ем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открытого конкурса на право получения 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свидетельств об осуществлении перевозок по одному или нескольким межмуниципальным маршрутам регулярных перевозок.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Негативные эффекты принятия данного способа решения проблемы отсутствуют.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5.2.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иных способов решения проблемы (с указанием того, каким образом каждым из способов могла бы быть решена проблема): Иные способы решения проблемы отсутствуют.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5.3.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выбора предлагаемого способа решения проблемы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Отсутствие нормативно-правовой регламентации организации и проведения открытых конкурсов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 право получения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ru-RU" w:bidi="ar-SA"/>
              </w:rPr>
              <w:t xml:space="preserve">свидетельств об осуществлении перевозок по одному или нескольким межмуниципальным маршрутам регулярных перевозок требует соответственно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нормативно-правового закрепления организации и проведения открытых конкурсов.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5.4.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Иная информация о предлагаемом способе решения проблемы: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отсутствует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2" w:right="0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155"/>
        <w:gridCol w:w="576"/>
        <w:gridCol w:w="2796"/>
        <w:gridCol w:w="824"/>
        <w:gridCol w:w="1970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6.1.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 участников отношений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6.2.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участников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6.2.1.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Прогноз изменения количества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среднесрочном периоде</w:t>
            </w:r>
          </w:p>
        </w:tc>
      </w:tr>
      <w:tr>
        <w:trPr/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Хозяйствующие субъекты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, осуществляющие регулярные перевозки пассажиров и багажа по межмуниципальным маршрутам регулярных перевозок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 ограничено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6.3.</w:t>
            </w:r>
          </w:p>
        </w:tc>
        <w:tc>
          <w:tcPr>
            <w:tcW w:w="9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Источники данных: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Министерство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Новые, изменяемые и отменяемые функции, полномочия, обязанности и права областных органов и органов местного самоуправления, а также порядок их реализации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2445"/>
        <w:gridCol w:w="2666"/>
      </w:tblGrid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7.1.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7.3.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новых или изменения существующих функций, полномочий, обязанностей или прав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Порядок реализации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Оценка изменения трудозатрат и потребностей в иных ресурсах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Новое полномочие Министерства: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установлени</w:t>
            </w:r>
            <w:r>
              <w:rPr>
                <w:rFonts w:eastAsia="Source Han Sans CN Regular;Times New Roman" w:cs="Times New Roman" w:ascii="Times New Roman" w:hAnsi="Times New Roman"/>
                <w:i w:val="false"/>
                <w:iCs w:val="false"/>
                <w:color w:val="000000"/>
                <w:kern w:val="2"/>
                <w:sz w:val="24"/>
                <w:szCs w:val="24"/>
                <w:shd w:fill="auto" w:val="clear"/>
                <w:lang w:val="ru-RU" w:eastAsia="ru-RU" w:bidi="ru-RU"/>
              </w:rPr>
              <w:t>е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порядка организации и проведения открытого конкурса.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Принятие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проекта Приказа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ru-RU"/>
              </w:rPr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Изменения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трудозатрат и ресурсов не требуются. </w:t>
            </w:r>
          </w:p>
        </w:tc>
      </w:tr>
    </w:tbl>
    <w:p>
      <w:pPr>
        <w:pStyle w:val="ListParagraph"/>
        <w:ind w:left="0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2" w:right="0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Оценка соответствующих расходов (возможных поступлений) бюджетов бюджетной системы Российской Федерации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392"/>
        <w:gridCol w:w="1701"/>
        <w:gridCol w:w="2724"/>
        <w:gridCol w:w="3211"/>
      </w:tblGrid>
      <w:tr>
        <w:trPr/>
        <w:tc>
          <w:tcPr>
            <w:tcW w:w="3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8.2.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8.3.</w:t>
            </w:r>
          </w:p>
        </w:tc>
      </w:tr>
      <w:tr>
        <w:trPr/>
        <w:tc>
          <w:tcPr>
            <w:tcW w:w="3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новой, изменяемой или отменяемой функции: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Качественное описание расходов и возможных поступлений бюджетной системы Российской Федерации: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Количественная оценка расходов и возможных поступлений, млн. руб.:</w:t>
            </w:r>
          </w:p>
        </w:tc>
      </w:tr>
      <w:tr>
        <w:trPr/>
        <w:tc>
          <w:tcPr>
            <w:tcW w:w="3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Функционал не изменяется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Отсутствует. Расходы и поступления в случае принятия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проекта Приказа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не предусмотрены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2"/>
                <w:szCs w:val="24"/>
                <w:lang w:bidi="en-US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4"/>
                <w:lang w:bidi="en-US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en-US"/>
              </w:rPr>
              <w:t>Отсутствует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shd w:fill="FFFF00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8.4.</w:t>
            </w:r>
          </w:p>
        </w:tc>
        <w:tc>
          <w:tcPr>
            <w:tcW w:w="9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Наименование органа, исполняющего функцию: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Министерство дорожного хозяйства и транспорта Челябинской области.</w:t>
            </w:r>
          </w:p>
        </w:tc>
      </w:tr>
      <w:tr>
        <w:trPr/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8.5. Единовременные расходы (указать год возникновения):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Отсутствуют.</w:t>
            </w:r>
          </w:p>
        </w:tc>
      </w:tr>
      <w:tr>
        <w:trPr/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8.6.</w:t>
            </w:r>
          </w:p>
        </w:tc>
        <w:tc>
          <w:tcPr>
            <w:tcW w:w="7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Иные сведения о расходах и возможных поступлениях бюджетов бюджетной системы Российской Федерации: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е потребует дополнительных ассигнований и не приведет к сокращению доходной части соответствующих бюджетов и к негативным социально-экономическим и финансовым последствиям</w:t>
            </w:r>
          </w:p>
        </w:tc>
      </w:tr>
      <w:tr>
        <w:trPr/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8.7.</w:t>
            </w:r>
          </w:p>
        </w:tc>
        <w:tc>
          <w:tcPr>
            <w:tcW w:w="7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Источники данных: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Министерство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Новые преимущества, а также обязанности для субъектов предпринимательской и иной деятельности или изменение содержания существующих обязанностей, а также порядок организации их исполнения</w:t>
      </w:r>
    </w:p>
    <w:tbl>
      <w:tblPr>
        <w:tblW w:w="98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2408"/>
        <w:gridCol w:w="1134"/>
        <w:gridCol w:w="2415"/>
        <w:gridCol w:w="671"/>
        <w:gridCol w:w="2566"/>
      </w:tblGrid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 участников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9.2.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новых преимуществ и обязанностей или изменения содержания существующих обязанностей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Порядок организации исполнения обязанностей</w:t>
            </w:r>
          </w:p>
        </w:tc>
      </w:tr>
      <w:tr>
        <w:trPr>
          <w:trHeight w:val="996" w:hRule="atLeast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Хозяйствующие субъекты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, осуществляющие регулярные перевозки пассажиров и багажа по межмуниципальным маршрутам регулярных перевозок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 xml:space="preserve">Новые обязанности и преимущества не предусмотрены, так как действия в рамках обычая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(определение по статье 5 ГК РФ) </w:t>
            </w: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закрепляются нормативно-правовой области.</w:t>
            </w:r>
          </w:p>
        </w:tc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sz w:val="24"/>
                <w:szCs w:val="24"/>
                <w:lang w:eastAsia="en-US"/>
              </w:rPr>
              <w:t xml:space="preserve">Определен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проектом Приказа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-14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 и ограничений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0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11"/>
        <w:gridCol w:w="1866"/>
        <w:gridCol w:w="2835"/>
        <w:gridCol w:w="2154"/>
      </w:tblGrid>
      <w:tr>
        <w:trPr/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10.3.1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10.3.2</w:t>
            </w:r>
          </w:p>
        </w:tc>
      </w:tr>
      <w:tr>
        <w:trPr/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 участников отношений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новых или изменения содержания существующих обязанностей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 оценка видов расходов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и оценка видов доходов</w:t>
            </w:r>
          </w:p>
        </w:tc>
      </w:tr>
      <w:tr>
        <w:trPr/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Хозяйствующие субъекты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, осуществляющие регулярные перевозки пассажиров и багажа по межмуниципальным маршрутам регулярных перевозок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Новые обязанности не предусмотрены. Существующие обязанности не меняются.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i w:val="false"/>
                <w:i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Расходы участников группы не требуются.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 w:val="false"/>
                <w:i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Д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оходы участников группы не предусмотрены</w:t>
            </w:r>
          </w:p>
        </w:tc>
      </w:tr>
      <w:tr>
        <w:trPr/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10.4.</w:t>
            </w:r>
          </w:p>
        </w:tc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Источники данных: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Министерство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-14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029"/>
        <w:gridCol w:w="2357"/>
        <w:gridCol w:w="2383"/>
        <w:gridCol w:w="2326"/>
      </w:tblGrid>
      <w:tr>
        <w:trPr/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11.1.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11.2.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11.3.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11.4.</w:t>
            </w:r>
          </w:p>
        </w:tc>
      </w:tr>
      <w:tr>
        <w:trPr/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left="34" w:right="0" w:hanging="1"/>
              <w:jc w:val="center"/>
              <w:rPr>
                <w:rFonts w:eastAsia="Calibri"/>
                <w:b w:val="false"/>
                <w:b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kern w:val="0"/>
                <w:sz w:val="24"/>
                <w:szCs w:val="24"/>
                <w:lang w:val="ru-RU" w:eastAsia="en-US" w:bidi="ar-SA"/>
              </w:rPr>
              <w:t>Основные риски решения проблемы предложенным способом и риски негативных последствий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left="34" w:right="0" w:hanging="1"/>
              <w:jc w:val="center"/>
              <w:rPr>
                <w:rFonts w:eastAsia="Calibri"/>
                <w:b w:val="false"/>
                <w:b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kern w:val="0"/>
                <w:sz w:val="24"/>
                <w:szCs w:val="24"/>
                <w:lang w:val="ru-RU" w:eastAsia="en-US" w:bidi="ar-SA"/>
              </w:rPr>
              <w:t>Оценки вероятности наступления рисков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left="34" w:right="0" w:hanging="1"/>
              <w:jc w:val="center"/>
              <w:rPr>
                <w:rFonts w:eastAsia="Calibri"/>
                <w:b w:val="false"/>
                <w:b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kern w:val="0"/>
                <w:sz w:val="24"/>
                <w:szCs w:val="24"/>
                <w:lang w:val="ru-RU" w:eastAsia="en-US" w:bidi="ar-SA"/>
              </w:rPr>
              <w:t>Методы контроля эффективности достижения цели по рискам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left="34" w:right="0" w:hanging="1"/>
              <w:jc w:val="center"/>
              <w:rPr>
                <w:rFonts w:eastAsia="Calibri"/>
                <w:b w:val="false"/>
                <w:b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 w:val="false"/>
                <w:kern w:val="0"/>
                <w:sz w:val="24"/>
                <w:szCs w:val="24"/>
                <w:lang w:val="ru-RU" w:eastAsia="en-US" w:bidi="ar-SA"/>
              </w:rPr>
              <w:t>Степень контроля рисков</w:t>
            </w:r>
          </w:p>
        </w:tc>
      </w:tr>
      <w:tr>
        <w:trPr/>
        <w:tc>
          <w:tcPr>
            <w:tcW w:w="9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left="34" w:right="0" w:hanging="1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</w:t>
            </w:r>
            <w:r>
              <w:rPr>
                <w:rFonts w:eastAsia="Calibri"/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иски решения проблемы </w:t>
            </w:r>
            <w:r>
              <w:rPr>
                <w:rFonts w:eastAsia="Calibri" w:cs="Times New Roman"/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предложенным способом регулирования, риски негативных последствий отсутствуют.</w:t>
            </w:r>
          </w:p>
        </w:tc>
      </w:tr>
      <w:tr>
        <w:trPr/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11.5.</w:t>
            </w:r>
          </w:p>
        </w:tc>
        <w:tc>
          <w:tcPr>
            <w:tcW w:w="9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suppressAutoHyphens w:val="true"/>
              <w:ind w:hanging="0"/>
              <w:rPr>
                <w:sz w:val="24"/>
                <w:szCs w:val="24"/>
              </w:rPr>
            </w:pPr>
            <w:r>
              <w:rPr>
                <w:b w:val="false"/>
                <w:kern w:val="0"/>
                <w:sz w:val="24"/>
                <w:szCs w:val="24"/>
                <w:lang w:val="ru-RU" w:eastAsia="en-US" w:bidi="ar-SA"/>
              </w:rPr>
              <w:t xml:space="preserve">Источники данных: </w:t>
            </w:r>
            <w:r>
              <w:rPr>
                <w:b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Министерство</w:t>
            </w:r>
          </w:p>
        </w:tc>
      </w:tr>
    </w:tbl>
    <w:p>
      <w:pPr>
        <w:pStyle w:val="Normal"/>
        <w:ind w:left="0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 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</w:p>
    <w:p>
      <w:pPr>
        <w:pStyle w:val="ListParagraph"/>
        <w:ind w:left="-284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0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754"/>
        <w:gridCol w:w="1559"/>
        <w:gridCol w:w="2831"/>
        <w:gridCol w:w="1423"/>
        <w:gridCol w:w="1482"/>
      </w:tblGrid>
      <w:tr>
        <w:trPr/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12.2.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12.3.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12.4.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12.5.</w:t>
            </w:r>
          </w:p>
        </w:tc>
      </w:tr>
      <w:tr>
        <w:trPr/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4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необходимые для достижения целей регулирования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67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Сроки мероприятий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ожидаемого результата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Объем финансирования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финансирования</w:t>
            </w:r>
          </w:p>
        </w:tc>
      </w:tr>
      <w:tr>
        <w:trPr/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4" w:hanging="0"/>
              <w:contextualSpacing/>
              <w:jc w:val="both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 xml:space="preserve">Размещение </w:t>
            </w: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 xml:space="preserve">Порядка, утверждаемого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проектом Приказа, </w:t>
            </w: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 xml:space="preserve"> на официальном сайте Министерства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67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После утверждения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проекта Приказа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4" w:hanging="0"/>
              <w:contextualSpacing/>
              <w:jc w:val="both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>Поряд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ок,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утверждаемый проектом Приказа,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размещен</w:t>
            </w: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 xml:space="preserve"> на официальном сайте Министерства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Не предусмотрен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Не предусмотрены</w:t>
            </w:r>
          </w:p>
        </w:tc>
      </w:tr>
      <w:tr>
        <w:trPr/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12.6.</w:t>
            </w:r>
          </w:p>
        </w:tc>
        <w:tc>
          <w:tcPr>
            <w:tcW w:w="9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Не предусмотрен.</w:t>
            </w:r>
          </w:p>
        </w:tc>
      </w:tr>
    </w:tbl>
    <w:p>
      <w:pPr>
        <w:pStyle w:val="ListParagraph"/>
        <w:ind w:left="-142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-142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Описание методов контроля эффективности избранного способа достижения целей регулирования, индикативные показатели, программы мониторинга и иные способы (методы) оценки достижения заявленных целей регулирования</w:t>
      </w:r>
    </w:p>
    <w:p>
      <w:pPr>
        <w:pStyle w:val="ListParagraph"/>
        <w:ind w:left="-142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188"/>
        <w:gridCol w:w="2837"/>
        <w:gridCol w:w="1702"/>
        <w:gridCol w:w="2545"/>
      </w:tblGrid>
      <w:tr>
        <w:trPr/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13.1.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13.3.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143" w:hanging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13.4.</w:t>
            </w:r>
          </w:p>
        </w:tc>
      </w:tr>
      <w:tr>
        <w:trPr/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34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целей регулирования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Показатели (индикаторы) достижения целей регулирования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89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Ед. измерения показателя (индикатора)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Способ расчета показателя (индикатора)</w:t>
            </w:r>
          </w:p>
        </w:tc>
      </w:tr>
      <w:tr>
        <w:trPr>
          <w:trHeight w:val="2494" w:hRule="atLeast"/>
        </w:trPr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>Нормативно-правовое закрепление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мероприятий и процедур, связанных с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проведени</w:t>
            </w:r>
            <w:r>
              <w:rPr>
                <w:rFonts w:eastAsia="Source Han Sans CN Regular;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ем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открытого конкурса на право получения 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свидетельств об осуществлении перевозок по одному или нескольким межмуниципальным маршрутам регулярных перевозок.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Принятие 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проекта Приказа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89" w:hanging="0"/>
              <w:contextualSpacing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Не предусмотрена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Не предусмотрен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93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13.5</w:t>
            </w:r>
          </w:p>
        </w:tc>
        <w:tc>
          <w:tcPr>
            <w:tcW w:w="9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52" w:hanging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Источники информации для расчета показателей (индикаторов):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Министерство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13.6.</w:t>
            </w:r>
          </w:p>
        </w:tc>
        <w:tc>
          <w:tcPr>
            <w:tcW w:w="9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52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Описание методов контроля эффективности избранного способа достижения целей регулирования, программы мониторинга и иных способов (методов) оценки достижения заявленных целей регулирования: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-52" w:hanging="0"/>
              <w:contextualSpacing/>
              <w:jc w:val="both"/>
              <w:rPr/>
            </w:pPr>
            <w:r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  <w:t xml:space="preserve">–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Контроль эффективности не требуется, так как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избранный способа достижения целей регулирования для Министерства является единственно возможным.</w:t>
            </w:r>
          </w:p>
        </w:tc>
      </w:tr>
    </w:tbl>
    <w:p>
      <w:pPr>
        <w:pStyle w:val="ListParagraph"/>
        <w:ind w:left="-142" w:right="-14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200"/>
        <w:ind w:left="-142" w:right="-143" w:hang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mbria" w:hAnsi="Cambria" w:eastAsia="Calibri" w:cs="Tahom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keepLines/>
      <w:spacing w:lineRule="auto" w:line="240" w:before="120" w:after="120"/>
      <w:ind w:left="709" w:right="0" w:hanging="0"/>
      <w:jc w:val="both"/>
      <w:outlineLvl w:val="1"/>
    </w:pPr>
    <w:rPr>
      <w:rFonts w:ascii="Cambria" w:hAnsi="Cambria" w:eastAsia="Times New Roman" w:cs="Times New Roman"/>
      <w:b/>
      <w:sz w:val="28"/>
      <w:szCs w:val="20"/>
    </w:rPr>
  </w:style>
  <w:style w:type="character" w:styleId="DefaultParagraphFont">
    <w:name w:val="Default Paragraph Font"/>
    <w:qFormat/>
    <w:rPr/>
  </w:style>
  <w:style w:type="character" w:styleId="Style1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21">
    <w:name w:val="Заголовок 2 Знак"/>
    <w:basedOn w:val="DefaultParagraphFont"/>
    <w:qFormat/>
    <w:rPr>
      <w:rFonts w:ascii="Cambria" w:hAnsi="Cambria" w:eastAsia="Times New Roman" w:cs="Times New Roman"/>
      <w:b/>
      <w:sz w:val="28"/>
      <w:szCs w:val="20"/>
    </w:rPr>
  </w:style>
  <w:style w:type="character" w:styleId="Style13">
    <w:name w:val="Название Знак"/>
    <w:basedOn w:val="DefaultParagraphFont"/>
    <w:qFormat/>
    <w:rPr>
      <w:rFonts w:ascii="Times New Roman" w:hAnsi="Times New Roman" w:eastAsia="Times New Roman" w:cs="Times New Roman"/>
      <w:b/>
      <w:kern w:val="2"/>
      <w:sz w:val="28"/>
      <w:szCs w:val="20"/>
    </w:rPr>
  </w:style>
  <w:style w:type="character" w:styleId="11">
    <w:name w:val="Заголовок 1 Знак"/>
    <w:basedOn w:val="DefaultParagraphFont"/>
    <w:qFormat/>
    <w:rPr>
      <w:rFonts w:ascii="Cambria" w:hAnsi="Cambria" w:eastAsia="Calibri" w:cs="Tahoma"/>
      <w:b/>
      <w:bCs/>
      <w:color w:val="365F91"/>
      <w:sz w:val="28"/>
      <w:szCs w:val="28"/>
    </w:rPr>
  </w:style>
  <w:style w:type="character" w:styleId="Style14">
    <w:name w:val="Цветовое выделение"/>
    <w:qFormat/>
    <w:rPr>
      <w:b/>
      <w:color w:val="26282F"/>
    </w:rPr>
  </w:style>
  <w:style w:type="character" w:styleId="Style15">
    <w:name w:val="Интернет-ссылка"/>
    <w:basedOn w:val="DefaultParagraphFont"/>
    <w:rPr>
      <w:color w:val="0000FF"/>
      <w:u w:val="single"/>
    </w:rPr>
  </w:style>
  <w:style w:type="character" w:styleId="Style16">
    <w:name w:val="Верхний колонтитул Знак"/>
    <w:basedOn w:val="DefaultParagraphFont"/>
    <w:qFormat/>
    <w:rPr/>
  </w:style>
  <w:style w:type="character" w:styleId="Style17">
    <w:name w:val="Нижний колонтитул Знак"/>
    <w:basedOn w:val="DefaultParagraphFont"/>
    <w:qFormat/>
    <w:rPr/>
  </w:style>
  <w:style w:type="character" w:styleId="Style18">
    <w:name w:val="Выделение"/>
    <w:qFormat/>
    <w:rPr>
      <w:i/>
      <w:i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Title"/>
    <w:basedOn w:val="1"/>
    <w:next w:val="Normal"/>
    <w:qFormat/>
    <w:pPr>
      <w:keepLines w:val="false"/>
      <w:spacing w:lineRule="auto" w:line="240" w:before="0" w:after="0"/>
      <w:jc w:val="both"/>
      <w:outlineLvl w:val="9"/>
    </w:pPr>
    <w:rPr>
      <w:rFonts w:ascii="Times New Roman" w:hAnsi="Times New Roman" w:eastAsia="Times New Roman" w:cs="Times New Roman"/>
      <w:bCs w:val="false"/>
      <w:color w:val="auto"/>
      <w:kern w:val="2"/>
      <w:szCs w:val="20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.Stekachev@mineconom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LibreOffice/7.2.2.2$Windows_X86_64 LibreOffice_project/02b2acce88a210515b4a5bb2e46cbfb63fe97d56</Application>
  <AppVersion>15.0000</AppVersion>
  <Pages>6</Pages>
  <Words>1394</Words>
  <Characters>10809</Characters>
  <CharactersWithSpaces>12078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2022-07-21T12:26:00Z</dcterms:created>
  <dc:creator>Ганеева Э.А.</dc:creator>
  <dc:description/>
  <dc:language>ru-RU</dc:language>
  <cp:lastModifiedBy/>
  <cp:lastPrinted>2022-03-17T08:33:00Z</cp:lastPrinted>
  <dcterms:modified xsi:type="dcterms:W3CDTF">2023-10-04T09:02:55Z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