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outlineLvl w:val="0"/>
      </w:pPr>
      <w:r>
        <w:t>ГУБЕРНАТОР ЧЕЛЯБИНСКОЙ ОБЛАСТИ</w:t>
      </w:r>
    </w:p>
    <w:p w14:paraId="02000000">
      <w:pPr>
        <w:pStyle w:val="Style_1"/>
        <w:ind/>
        <w:jc w:val="center"/>
      </w:pPr>
    </w:p>
    <w:p w14:paraId="03000000">
      <w:pPr>
        <w:pStyle w:val="Style_1"/>
        <w:ind/>
        <w:jc w:val="center"/>
      </w:pPr>
      <w:r>
        <w:t>ПОСТАНОВЛЕНИЕ</w:t>
      </w:r>
    </w:p>
    <w:p w14:paraId="04000000">
      <w:pPr>
        <w:pStyle w:val="Style_1"/>
        <w:ind/>
        <w:jc w:val="center"/>
      </w:pPr>
      <w:r>
        <w:t>от 6 декабря 2004 г. N 631</w:t>
      </w:r>
    </w:p>
    <w:p w14:paraId="05000000">
      <w:pPr>
        <w:pStyle w:val="Style_1"/>
        <w:ind/>
        <w:jc w:val="center"/>
      </w:pPr>
    </w:p>
    <w:p w14:paraId="06000000">
      <w:pPr>
        <w:pStyle w:val="Style_1"/>
        <w:ind/>
        <w:jc w:val="center"/>
      </w:pPr>
      <w:r>
        <w:t>ОБ АССОРТИМЕНТЕ СОПУТСТВУЮЩИХ ТОВАРОВ</w:t>
      </w:r>
    </w:p>
    <w:p w14:paraId="07000000">
      <w:pPr>
        <w:pStyle w:val="Style_1"/>
        <w:ind/>
        <w:jc w:val="center"/>
      </w:pPr>
      <w:r>
        <w:t>В ГАЗЕТНО-ЖУРНАЛЬНЫХ КИОСКАХ</w:t>
      </w:r>
    </w:p>
    <w:p w14:paraId="08000000">
      <w:pPr>
        <w:pStyle w:val="Style_2"/>
      </w:pPr>
    </w:p>
    <w:p w14:paraId="09000000">
      <w:pPr>
        <w:pStyle w:val="Style_2"/>
        <w:ind w:firstLine="540"/>
        <w:jc w:val="both"/>
      </w:pPr>
      <w:r>
        <w:t>В соответствии с Федеральным законом "О применении контрольно-кассовой техники при осуществлении наличных денежных расчетов и (или) расчетов с использованием платежных карт"</w:t>
      </w:r>
    </w:p>
    <w:p w14:paraId="0A000000">
      <w:pPr>
        <w:pStyle w:val="Style_2"/>
        <w:spacing w:before="240"/>
        <w:ind w:firstLine="540"/>
        <w:jc w:val="both"/>
      </w:pPr>
      <w:r>
        <w:t>ПОСТАНОВЛЯЮ:</w:t>
      </w:r>
    </w:p>
    <w:p w14:paraId="0B000000">
      <w:pPr>
        <w:pStyle w:val="Style_2"/>
        <w:ind w:firstLine="540"/>
        <w:jc w:val="both"/>
      </w:pPr>
    </w:p>
    <w:p w14:paraId="0C000000">
      <w:pPr>
        <w:pStyle w:val="Style_2"/>
        <w:ind w:firstLine="540"/>
        <w:jc w:val="both"/>
      </w:pPr>
      <w:r>
        <w:t xml:space="preserve">1. Утвердить прилагаемый </w:t>
      </w:r>
      <w:r>
        <w:rPr>
          <w:color w:val="0000FF"/>
        </w:rPr>
        <w:fldChar w:fldCharType="begin"/>
      </w:r>
      <w:r>
        <w:rPr>
          <w:color w:val="0000FF"/>
        </w:rPr>
        <w:instrText>HYPERLINK \l "Par32" \o "АССОРТИМЕНТ"</w:instrText>
      </w:r>
      <w:r>
        <w:rPr>
          <w:color w:val="0000FF"/>
        </w:rPr>
        <w:fldChar w:fldCharType="separate"/>
      </w:r>
      <w:r>
        <w:rPr>
          <w:color w:val="0000FF"/>
        </w:rPr>
        <w:t>ассортимент</w:t>
      </w:r>
      <w:r>
        <w:rPr>
          <w:color w:val="0000FF"/>
        </w:rPr>
        <w:fldChar w:fldCharType="end"/>
      </w:r>
      <w:r>
        <w:t xml:space="preserve"> сопутствующих товаров в газетно-журнальных </w:t>
      </w:r>
      <w:r>
        <w:t>киосках</w:t>
      </w:r>
      <w:r>
        <w:t>.</w:t>
      </w:r>
    </w:p>
    <w:p w14:paraId="0D000000">
      <w:pPr>
        <w:pStyle w:val="Style_2"/>
        <w:ind w:firstLine="540"/>
        <w:jc w:val="both"/>
      </w:pPr>
    </w:p>
    <w:p w14:paraId="0E000000">
      <w:pPr>
        <w:pStyle w:val="Style_2"/>
        <w:ind w:firstLine="540"/>
        <w:jc w:val="both"/>
      </w:pPr>
      <w:r>
        <w:t>2. Главному управлению по делам печати и массовых коммуникаций Челябинской области (</w:t>
      </w:r>
      <w:r>
        <w:t>Кимайкин</w:t>
      </w:r>
      <w:r>
        <w:t xml:space="preserve"> С.И.) опубликовать настоящее постановление в официальных средствах массовой информации.</w:t>
      </w:r>
    </w:p>
    <w:p w14:paraId="0F000000">
      <w:pPr>
        <w:pStyle w:val="Style_2"/>
        <w:ind w:firstLine="540"/>
        <w:jc w:val="both"/>
      </w:pPr>
    </w:p>
    <w:p w14:paraId="10000000">
      <w:pPr>
        <w:pStyle w:val="Style_2"/>
        <w:ind w:firstLine="540"/>
        <w:jc w:val="both"/>
      </w:pPr>
      <w:r>
        <w:t>3. Организацию выполнения настоящего постановления возложить на первого заместителя Губернатора Челябинской области Дятлова В.Н.</w:t>
      </w:r>
    </w:p>
    <w:p w14:paraId="11000000">
      <w:pPr>
        <w:pStyle w:val="Style_2"/>
        <w:ind/>
        <w:jc w:val="right"/>
      </w:pPr>
    </w:p>
    <w:p w14:paraId="12000000">
      <w:pPr>
        <w:pStyle w:val="Style_2"/>
        <w:ind/>
        <w:jc w:val="right"/>
      </w:pPr>
      <w:r>
        <w:t>Губернатор</w:t>
      </w:r>
    </w:p>
    <w:p w14:paraId="13000000">
      <w:pPr>
        <w:pStyle w:val="Style_2"/>
        <w:ind/>
        <w:jc w:val="right"/>
      </w:pPr>
      <w:r>
        <w:t>Челябинской области</w:t>
      </w:r>
    </w:p>
    <w:p w14:paraId="14000000">
      <w:pPr>
        <w:pStyle w:val="Style_2"/>
        <w:ind/>
        <w:jc w:val="right"/>
      </w:pPr>
      <w:r>
        <w:t>П.И.СУМИН</w:t>
      </w:r>
    </w:p>
    <w:p w14:paraId="15000000">
      <w:pPr>
        <w:pStyle w:val="Style_2"/>
        <w:ind w:firstLine="540"/>
        <w:jc w:val="both"/>
      </w:pPr>
    </w:p>
    <w:p w14:paraId="16000000">
      <w:pPr>
        <w:pStyle w:val="Style_2"/>
        <w:ind w:firstLine="540"/>
        <w:jc w:val="both"/>
      </w:pPr>
    </w:p>
    <w:p w14:paraId="17000000">
      <w:pPr>
        <w:pStyle w:val="Style_2"/>
        <w:ind w:firstLine="540"/>
        <w:jc w:val="both"/>
      </w:pPr>
    </w:p>
    <w:p w14:paraId="18000000">
      <w:pPr>
        <w:pStyle w:val="Style_2"/>
        <w:ind w:firstLine="540"/>
        <w:jc w:val="both"/>
      </w:pPr>
    </w:p>
    <w:p w14:paraId="19000000">
      <w:pPr>
        <w:pStyle w:val="Style_2"/>
        <w:ind w:firstLine="540"/>
        <w:jc w:val="both"/>
      </w:pPr>
    </w:p>
    <w:p w14:paraId="1A000000">
      <w:pPr>
        <w:pStyle w:val="Style_2"/>
        <w:ind w:firstLine="540"/>
        <w:jc w:val="both"/>
      </w:pPr>
    </w:p>
    <w:p w14:paraId="1B000000">
      <w:pPr>
        <w:pStyle w:val="Style_2"/>
        <w:ind w:firstLine="540"/>
        <w:jc w:val="both"/>
      </w:pPr>
    </w:p>
    <w:p w14:paraId="1C000000">
      <w:pPr>
        <w:pStyle w:val="Style_2"/>
        <w:ind w:firstLine="540"/>
        <w:jc w:val="both"/>
      </w:pPr>
    </w:p>
    <w:p w14:paraId="1D000000">
      <w:pPr>
        <w:pStyle w:val="Style_2"/>
        <w:ind w:firstLine="540"/>
        <w:jc w:val="both"/>
      </w:pPr>
    </w:p>
    <w:p w14:paraId="1E000000">
      <w:pPr>
        <w:pStyle w:val="Style_2"/>
        <w:ind w:firstLine="540"/>
        <w:jc w:val="both"/>
      </w:pPr>
    </w:p>
    <w:p w14:paraId="1F000000">
      <w:pPr>
        <w:pStyle w:val="Style_2"/>
        <w:ind w:firstLine="540"/>
        <w:jc w:val="both"/>
      </w:pPr>
    </w:p>
    <w:p w14:paraId="20000000">
      <w:pPr>
        <w:pStyle w:val="Style_2"/>
        <w:ind w:firstLine="540"/>
        <w:jc w:val="both"/>
      </w:pPr>
    </w:p>
    <w:p w14:paraId="21000000">
      <w:pPr>
        <w:pStyle w:val="Style_2"/>
        <w:ind w:firstLine="540"/>
        <w:jc w:val="both"/>
      </w:pPr>
    </w:p>
    <w:p w14:paraId="22000000">
      <w:pPr>
        <w:pStyle w:val="Style_2"/>
        <w:ind w:firstLine="540"/>
        <w:jc w:val="both"/>
      </w:pPr>
    </w:p>
    <w:p w14:paraId="23000000">
      <w:pPr>
        <w:pStyle w:val="Style_2"/>
        <w:ind w:firstLine="540"/>
        <w:jc w:val="both"/>
      </w:pPr>
    </w:p>
    <w:p w14:paraId="24000000">
      <w:pPr>
        <w:pStyle w:val="Style_2"/>
        <w:ind w:firstLine="540"/>
        <w:jc w:val="both"/>
      </w:pPr>
    </w:p>
    <w:p w14:paraId="25000000">
      <w:pPr>
        <w:pStyle w:val="Style_2"/>
        <w:ind w:firstLine="540"/>
        <w:jc w:val="both"/>
      </w:pPr>
    </w:p>
    <w:p w14:paraId="26000000">
      <w:pPr>
        <w:pStyle w:val="Style_2"/>
        <w:ind w:firstLine="540"/>
        <w:jc w:val="both"/>
      </w:pPr>
    </w:p>
    <w:p w14:paraId="27000000">
      <w:pPr>
        <w:pStyle w:val="Style_2"/>
        <w:ind w:firstLine="540"/>
        <w:jc w:val="both"/>
      </w:pPr>
    </w:p>
    <w:p w14:paraId="28000000">
      <w:pPr>
        <w:pStyle w:val="Style_2"/>
        <w:ind w:firstLine="540"/>
        <w:jc w:val="both"/>
      </w:pPr>
    </w:p>
    <w:p w14:paraId="29000000">
      <w:pPr>
        <w:pStyle w:val="Style_2"/>
        <w:ind w:firstLine="540"/>
        <w:jc w:val="both"/>
      </w:pPr>
    </w:p>
    <w:p w14:paraId="2A000000">
      <w:pPr>
        <w:pStyle w:val="Style_2"/>
        <w:ind w:firstLine="540"/>
        <w:jc w:val="both"/>
      </w:pPr>
    </w:p>
    <w:p w14:paraId="2B000000">
      <w:pPr>
        <w:pStyle w:val="Style_2"/>
        <w:ind w:firstLine="540"/>
        <w:jc w:val="both"/>
      </w:pPr>
    </w:p>
    <w:p w14:paraId="2C000000">
      <w:pPr>
        <w:pStyle w:val="Style_2"/>
        <w:ind w:firstLine="540"/>
        <w:jc w:val="both"/>
      </w:pPr>
    </w:p>
    <w:p w14:paraId="2D000000">
      <w:pPr>
        <w:pStyle w:val="Style_2"/>
        <w:ind w:firstLine="540"/>
        <w:jc w:val="both"/>
      </w:pPr>
    </w:p>
    <w:p w14:paraId="2E000000">
      <w:pPr>
        <w:pStyle w:val="Style_2"/>
        <w:ind/>
        <w:jc w:val="right"/>
        <w:outlineLvl w:val="0"/>
      </w:pPr>
      <w:r>
        <w:t>Утвержден</w:t>
      </w:r>
    </w:p>
    <w:p w14:paraId="2F000000">
      <w:pPr>
        <w:pStyle w:val="Style_2"/>
        <w:ind/>
        <w:jc w:val="right"/>
      </w:pPr>
      <w:r>
        <w:t>постановлением</w:t>
      </w:r>
    </w:p>
    <w:p w14:paraId="30000000">
      <w:pPr>
        <w:pStyle w:val="Style_2"/>
        <w:ind/>
        <w:jc w:val="right"/>
      </w:pPr>
      <w:r>
        <w:t>Губернатора</w:t>
      </w:r>
    </w:p>
    <w:p w14:paraId="31000000">
      <w:pPr>
        <w:pStyle w:val="Style_2"/>
        <w:ind/>
        <w:jc w:val="right"/>
      </w:pPr>
      <w:r>
        <w:t>Челябинской области</w:t>
      </w:r>
    </w:p>
    <w:p w14:paraId="32000000">
      <w:pPr>
        <w:pStyle w:val="Style_2"/>
        <w:ind/>
        <w:jc w:val="right"/>
      </w:pPr>
      <w:r>
        <w:t>от 6 декабря 2004 г. N 631</w:t>
      </w:r>
    </w:p>
    <w:p w14:paraId="33000000">
      <w:pPr>
        <w:pStyle w:val="Style_2"/>
        <w:ind/>
        <w:jc w:val="right"/>
      </w:pPr>
    </w:p>
    <w:p w14:paraId="34000000">
      <w:pPr>
        <w:pStyle w:val="Style_1"/>
        <w:ind/>
        <w:jc w:val="center"/>
      </w:pPr>
      <w:bookmarkStart w:id="1" w:name="Par32"/>
      <w:bookmarkEnd w:id="1"/>
      <w:r>
        <w:t>АССОРТИМЕНТ</w:t>
      </w:r>
    </w:p>
    <w:p w14:paraId="35000000">
      <w:pPr>
        <w:pStyle w:val="Style_1"/>
        <w:ind/>
        <w:jc w:val="center"/>
      </w:pPr>
      <w:r>
        <w:t>СОПУТСТВУЮЩИХ ТОВАРОВ В ГАЗЕТНО-ЖУРНАЛЬНЫХ КИОСКАХ</w:t>
      </w:r>
    </w:p>
    <w:p w14:paraId="36000000">
      <w:pPr>
        <w:pStyle w:val="Style_2"/>
        <w:ind w:firstLine="540"/>
        <w:jc w:val="both"/>
      </w:pPr>
    </w:p>
    <w:p w14:paraId="37000000">
      <w:pPr>
        <w:pStyle w:val="Style_2"/>
        <w:ind w:firstLine="540"/>
        <w:jc w:val="both"/>
      </w:pPr>
      <w:r>
        <w:t>1. Полиграфическая продукция.</w:t>
      </w:r>
    </w:p>
    <w:p w14:paraId="38000000">
      <w:pPr>
        <w:pStyle w:val="Style_2"/>
        <w:spacing w:before="240"/>
        <w:ind w:firstLine="540"/>
        <w:jc w:val="both"/>
      </w:pPr>
      <w:r>
        <w:t>2. Бумажно-беловые и канцелярские товары, школьно-письменные принадлежности, микрокалькуляторы.</w:t>
      </w:r>
    </w:p>
    <w:p w14:paraId="39000000">
      <w:pPr>
        <w:pStyle w:val="Style_2"/>
        <w:spacing w:before="240"/>
        <w:ind w:firstLine="540"/>
        <w:jc w:val="both"/>
      </w:pPr>
      <w:r>
        <w:t>3. Сервисные электронные и магнитные карты.</w:t>
      </w:r>
    </w:p>
    <w:p w14:paraId="3A000000">
      <w:pPr>
        <w:pStyle w:val="Style_2"/>
        <w:spacing w:before="240"/>
        <w:ind w:firstLine="540"/>
        <w:jc w:val="both"/>
      </w:pPr>
      <w:r>
        <w:t xml:space="preserve">4. Парфюмерно-косметические товары (кроме </w:t>
      </w:r>
      <w:r>
        <w:t>спиртосодержащих</w:t>
      </w:r>
      <w:r>
        <w:t>).</w:t>
      </w:r>
    </w:p>
    <w:p w14:paraId="3B000000">
      <w:pPr>
        <w:pStyle w:val="Style_2"/>
        <w:spacing w:before="240"/>
        <w:ind w:firstLine="540"/>
        <w:jc w:val="both"/>
      </w:pPr>
      <w:r>
        <w:t>5. Санитарно-гигиенические изделия.</w:t>
      </w:r>
    </w:p>
    <w:p w14:paraId="3C000000">
      <w:pPr>
        <w:pStyle w:val="Style_2"/>
        <w:spacing w:before="240"/>
        <w:ind w:firstLine="540"/>
        <w:jc w:val="both"/>
      </w:pPr>
      <w:r>
        <w:t>6. Галантерейные товары.</w:t>
      </w:r>
    </w:p>
    <w:p w14:paraId="3D000000">
      <w:pPr>
        <w:pStyle w:val="Style_2"/>
        <w:spacing w:before="240"/>
        <w:ind w:firstLine="540"/>
        <w:jc w:val="both"/>
      </w:pPr>
      <w:r>
        <w:t>7. Чулочно-носочные изделия.</w:t>
      </w:r>
    </w:p>
    <w:p w14:paraId="3E000000">
      <w:pPr>
        <w:pStyle w:val="Style_2"/>
        <w:spacing w:before="240"/>
        <w:ind w:firstLine="540"/>
        <w:jc w:val="both"/>
      </w:pPr>
      <w:r>
        <w:t>8. Игрушки и украшения елочные.</w:t>
      </w:r>
    </w:p>
    <w:p w14:paraId="3F000000">
      <w:pPr>
        <w:pStyle w:val="Style_2"/>
        <w:spacing w:before="240"/>
        <w:ind w:firstLine="540"/>
        <w:jc w:val="both"/>
      </w:pPr>
      <w:r>
        <w:t>9. Простейшие изделия хозяйственно-бытового назначения.</w:t>
      </w:r>
    </w:p>
    <w:p w14:paraId="40000000">
      <w:pPr>
        <w:pStyle w:val="Style_2"/>
        <w:spacing w:before="240"/>
        <w:ind w:firstLine="540"/>
        <w:jc w:val="both"/>
      </w:pPr>
      <w:r>
        <w:t>10. Элементы питания.</w:t>
      </w:r>
    </w:p>
    <w:p w14:paraId="41000000">
      <w:pPr>
        <w:pStyle w:val="Style_2"/>
        <w:spacing w:before="240"/>
        <w:ind w:firstLine="540"/>
        <w:jc w:val="both"/>
      </w:pPr>
      <w:r>
        <w:t>11. Табачные изделия.</w:t>
      </w:r>
    </w:p>
    <w:p w14:paraId="42000000">
      <w:pPr>
        <w:pStyle w:val="Style_2"/>
        <w:spacing w:before="240"/>
        <w:ind w:firstLine="540"/>
        <w:jc w:val="both"/>
      </w:pPr>
      <w:r>
        <w:t>12. Жевательная резинка.</w:t>
      </w:r>
    </w:p>
    <w:p w14:paraId="43000000">
      <w:pPr>
        <w:pStyle w:val="Style_2"/>
        <w:spacing w:before="240"/>
        <w:ind w:firstLine="540"/>
        <w:jc w:val="both"/>
      </w:pPr>
      <w:r>
        <w:t>13. Прохладительные напитки, соки, сиропы, расфасованные в герметическую упаковку; конфеты, печенье, вафли, шоколад, шоколадные батончики в упаковке производителя (при условии обеспечения необходимого температурного режима и санитарно-эпидемиологических требований).</w:t>
      </w:r>
    </w:p>
    <w:p w14:paraId="44000000">
      <w:pPr>
        <w:pStyle w:val="Style_2"/>
        <w:ind w:firstLine="540"/>
        <w:jc w:val="both"/>
      </w:pPr>
    </w:p>
    <w:p w14:paraId="45000000">
      <w:pPr>
        <w:pStyle w:val="Style_2"/>
        <w:ind/>
        <w:jc w:val="right"/>
      </w:pPr>
      <w:r>
        <w:t>Первый заместитель</w:t>
      </w:r>
    </w:p>
    <w:p w14:paraId="46000000">
      <w:pPr>
        <w:pStyle w:val="Style_2"/>
        <w:ind/>
        <w:jc w:val="right"/>
      </w:pPr>
      <w:r>
        <w:t>Губернатора</w:t>
      </w:r>
    </w:p>
    <w:p w14:paraId="47000000">
      <w:pPr>
        <w:pStyle w:val="Style_2"/>
        <w:ind/>
        <w:jc w:val="right"/>
      </w:pPr>
      <w:r>
        <w:t>Челябинской области</w:t>
      </w:r>
    </w:p>
    <w:p w14:paraId="48000000">
      <w:pPr>
        <w:pStyle w:val="Style_2"/>
        <w:ind/>
        <w:jc w:val="right"/>
      </w:pPr>
      <w:r>
        <w:t>В.Н.ДЯТЛОВ</w:t>
      </w:r>
    </w:p>
    <w:p w14:paraId="49000000">
      <w:pPr>
        <w:pStyle w:val="Style_2"/>
        <w:ind w:firstLine="540"/>
        <w:jc w:val="both"/>
      </w:pPr>
    </w:p>
    <w:p w14:paraId="4A000000">
      <w:pPr>
        <w:pStyle w:val="Style_2"/>
        <w:ind w:firstLine="540"/>
        <w:jc w:val="both"/>
      </w:pPr>
    </w:p>
    <w:p w14:paraId="4B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" w:type="paragraph">
    <w:name w:val="ConsPlusTitle"/>
    <w:link w:val="Style_1_ch"/>
    <w:pPr>
      <w:widowControl w:val="0"/>
      <w:spacing w:after="0" w:line="240" w:lineRule="auto"/>
      <w:ind/>
    </w:pPr>
    <w:rPr>
      <w:rFonts w:ascii="Arial" w:hAnsi="Arial"/>
      <w:b w:val="1"/>
      <w:sz w:val="24"/>
    </w:rPr>
  </w:style>
  <w:style w:styleId="Style_1_ch" w:type="character">
    <w:name w:val="ConsPlusTitle"/>
    <w:link w:val="Style_1"/>
    <w:rPr>
      <w:rFonts w:ascii="Arial" w:hAnsi="Arial"/>
      <w:b w:val="1"/>
      <w:sz w:val="24"/>
    </w:rPr>
  </w:style>
  <w:style w:styleId="Style_9" w:type="paragraph">
    <w:name w:val="heading 3"/>
    <w:next w:val="Style_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toc 3"/>
    <w:next w:val="Style_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_ch" w:type="character">
    <w:name w:val="ConsPlusNormal"/>
    <w:link w:val="Style_2"/>
    <w:rPr>
      <w:rFonts w:ascii="Times New Roman" w:hAnsi="Times New Roman"/>
      <w:sz w:val="24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next w:val="Style_3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next w:val="Style_3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next w:val="Style_3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next w:val="Style_3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MyOffice-CoreFramework-Android/23-942.521.5897.573.1@RELEASE-CORE-23.0-ST-2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2024-06-17T07:28:06Z</dcterms:modified>
</cp:coreProperties>
</file>