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795" w:rsidRDefault="00464795">
      <w:pPr>
        <w:rPr>
          <w:lang w:val="en-US"/>
        </w:rPr>
      </w:pPr>
      <w:bookmarkStart w:id="0" w:name="_GoBack"/>
      <w:bookmarkEnd w:id="0"/>
    </w:p>
    <w:p w:rsidR="00464795" w:rsidRDefault="00464795">
      <w:pPr>
        <w:rPr>
          <w:lang w:val="en-US"/>
        </w:rPr>
      </w:pPr>
    </w:p>
    <w:p w:rsidR="00464795" w:rsidRDefault="00464795">
      <w:pPr>
        <w:rPr>
          <w:lang w:val="en-US"/>
        </w:rPr>
      </w:pPr>
    </w:p>
    <w:p w:rsidR="00464795" w:rsidRDefault="00BC5D77">
      <w:pPr>
        <w:jc w:val="right"/>
        <w:rPr>
          <w:b/>
          <w:i/>
          <w:szCs w:val="26"/>
        </w:rPr>
      </w:pPr>
      <w:r>
        <w:rPr>
          <w:b/>
          <w:i/>
          <w:szCs w:val="26"/>
        </w:rPr>
        <w:t>ПРОЕКТ</w:t>
      </w:r>
    </w:p>
    <w:p w:rsidR="00464795" w:rsidRDefault="00464795">
      <w:pPr>
        <w:rPr>
          <w:sz w:val="22"/>
          <w:szCs w:val="28"/>
        </w:rPr>
      </w:pPr>
    </w:p>
    <w:p w:rsidR="00464795" w:rsidRDefault="00464795">
      <w:pPr>
        <w:rPr>
          <w:sz w:val="22"/>
          <w:szCs w:val="28"/>
        </w:rPr>
      </w:pPr>
    </w:p>
    <w:p w:rsidR="00464795" w:rsidRDefault="00464795">
      <w:pPr>
        <w:rPr>
          <w:sz w:val="26"/>
          <w:szCs w:val="26"/>
        </w:rPr>
      </w:pPr>
    </w:p>
    <w:p w:rsidR="00464795" w:rsidRDefault="00BC5D77">
      <w:pPr>
        <w:ind w:left="113" w:right="5952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постановление Администрации</w:t>
      </w:r>
    </w:p>
    <w:p w:rsidR="00464795" w:rsidRDefault="00BC5D77">
      <w:pPr>
        <w:ind w:left="113" w:right="5527"/>
        <w:jc w:val="both"/>
        <w:rPr>
          <w:sz w:val="26"/>
          <w:szCs w:val="26"/>
        </w:rPr>
      </w:pPr>
      <w:r>
        <w:rPr>
          <w:sz w:val="26"/>
          <w:szCs w:val="26"/>
        </w:rPr>
        <w:t>города Челябинска</w:t>
      </w:r>
    </w:p>
    <w:p w:rsidR="00464795" w:rsidRDefault="00BC5D77">
      <w:pPr>
        <w:ind w:left="113" w:right="5527"/>
        <w:jc w:val="both"/>
        <w:rPr>
          <w:sz w:val="26"/>
          <w:szCs w:val="26"/>
        </w:rPr>
      </w:pPr>
      <w:r>
        <w:rPr>
          <w:sz w:val="26"/>
          <w:szCs w:val="26"/>
        </w:rPr>
        <w:t>от 09.09.2016 № 395-п</w:t>
      </w:r>
    </w:p>
    <w:p w:rsidR="00464795" w:rsidRDefault="00464795">
      <w:pPr>
        <w:rPr>
          <w:sz w:val="26"/>
          <w:szCs w:val="26"/>
        </w:rPr>
      </w:pPr>
    </w:p>
    <w:p w:rsidR="00464795" w:rsidRDefault="00464795">
      <w:pPr>
        <w:rPr>
          <w:sz w:val="6"/>
          <w:szCs w:val="6"/>
        </w:rPr>
      </w:pPr>
    </w:p>
    <w:p w:rsidR="00464795" w:rsidRDefault="00464795">
      <w:pPr>
        <w:rPr>
          <w:sz w:val="12"/>
          <w:szCs w:val="12"/>
        </w:rPr>
      </w:pPr>
    </w:p>
    <w:p w:rsidR="00464795" w:rsidRDefault="00464795">
      <w:pPr>
        <w:rPr>
          <w:sz w:val="12"/>
          <w:szCs w:val="12"/>
        </w:rPr>
      </w:pPr>
    </w:p>
    <w:p w:rsidR="00464795" w:rsidRDefault="00BC5D77">
      <w:pPr>
        <w:pStyle w:val="ConsPlusNormal"/>
        <w:ind w:firstLine="709"/>
        <w:jc w:val="both"/>
      </w:pPr>
      <w:r>
        <w:t xml:space="preserve">В соответствии с Земельным кодексом Российской Федерации, федеральными законам от 06.10.2003 № 131-ФЗ «Об общих принципах организации местного </w:t>
      </w:r>
      <w:r>
        <w:t>самоуправления в Российской Федерации», от 28.12.2009 № 381-ФЗ «Об основах государственного регулирования торговой деятельности в Российской Федерации», Законом Челябинской области от 23.09.2010 № 638-ЗО «О полномочиях органов государственной власти Челяби</w:t>
      </w:r>
      <w:r>
        <w:t>нской области в сфере государственного регулирования торговой деятельности в Челябинской области», Уставом города Челябинска, решением Челябинской городской Думы от 10.04.2018 № 39/17 «Об утверждении Порядка оформления документов для размещения нестационар</w:t>
      </w:r>
      <w:r>
        <w:t>ных торговых объектов на территории города Челябинска»</w:t>
      </w:r>
    </w:p>
    <w:p w:rsidR="00464795" w:rsidRDefault="00464795">
      <w:pPr>
        <w:pStyle w:val="ConsPlusNormal"/>
        <w:ind w:firstLine="709"/>
        <w:jc w:val="both"/>
        <w:rPr>
          <w:b/>
        </w:rPr>
      </w:pPr>
    </w:p>
    <w:p w:rsidR="00464795" w:rsidRDefault="00BC5D77">
      <w:pPr>
        <w:pStyle w:val="ConsPlusNormal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64795" w:rsidRDefault="00464795">
      <w:pPr>
        <w:pStyle w:val="ConsPlusNormal"/>
        <w:jc w:val="center"/>
        <w:outlineLvl w:val="0"/>
        <w:rPr>
          <w:sz w:val="28"/>
          <w:szCs w:val="28"/>
        </w:rPr>
      </w:pPr>
    </w:p>
    <w:p w:rsidR="00464795" w:rsidRDefault="00BC5D77">
      <w:pPr>
        <w:pStyle w:val="ConsPlusNormal"/>
        <w:ind w:firstLine="709"/>
        <w:jc w:val="both"/>
      </w:pPr>
      <w:r>
        <w:t>1. Внести в приложение к постановлению Администрации города Челябинска                     от 09.09.2016 № 395-п «Об утверждении Положения о порядке размещения нестационарных торговых об</w:t>
      </w:r>
      <w:r>
        <w:t>ъектов на территории города Челябинска без предоставления земельного участка» следующие изменения:</w:t>
      </w:r>
    </w:p>
    <w:p w:rsidR="00464795" w:rsidRDefault="00BC5D77">
      <w:pPr>
        <w:pStyle w:val="ConsPlusDocList"/>
        <w:tabs>
          <w:tab w:val="left" w:pos="825"/>
        </w:tabs>
        <w:spacing w:line="278" w:lineRule="exact"/>
        <w:ind w:firstLine="709"/>
        <w:jc w:val="both"/>
        <w:rPr>
          <w:rFonts w:ascii="Times New Roman" w:hAnsi="Times New Roman" w:cs="Times New Roman"/>
          <w:color w:val="00000A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A"/>
          <w:sz w:val="26"/>
          <w:szCs w:val="26"/>
          <w:lang w:val="ru-RU"/>
        </w:rPr>
        <w:t>«1) пункт 4 изложить в следующей редакции:</w:t>
      </w:r>
    </w:p>
    <w:p w:rsidR="00464795" w:rsidRDefault="00BC5D77">
      <w:pPr>
        <w:pStyle w:val="ConsPlusDocList"/>
        <w:tabs>
          <w:tab w:val="left" w:pos="825"/>
        </w:tabs>
        <w:spacing w:line="278" w:lineRule="exact"/>
        <w:ind w:firstLine="709"/>
        <w:jc w:val="both"/>
        <w:rPr>
          <w:rFonts w:ascii="Times New Roman" w:hAnsi="Times New Roman" w:cs="Times New Roman"/>
          <w:color w:val="00000A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A"/>
          <w:sz w:val="26"/>
          <w:szCs w:val="26"/>
          <w:lang w:val="ru-RU"/>
        </w:rPr>
        <w:t xml:space="preserve">Заявление о размещении нестационарного торгового объекта без предоставления земельного участка (далее – Заявление </w:t>
      </w:r>
      <w:r>
        <w:rPr>
          <w:rFonts w:ascii="Times New Roman" w:hAnsi="Times New Roman" w:cs="Times New Roman"/>
          <w:color w:val="00000A"/>
          <w:sz w:val="26"/>
          <w:szCs w:val="26"/>
          <w:lang w:val="ru-RU"/>
        </w:rPr>
        <w:t>о размещении) подается индивидуальным предпринимателем или юридическим лицом (далее – Заявитель) в Администрацию города Челябинска (далее – Администрация города). В Заявлении о размещении указываются реквизиты правового акта о его включении в Схему, срок р</w:t>
      </w:r>
      <w:r>
        <w:rPr>
          <w:rFonts w:ascii="Times New Roman" w:hAnsi="Times New Roman" w:cs="Times New Roman"/>
          <w:color w:val="00000A"/>
          <w:sz w:val="26"/>
          <w:szCs w:val="26"/>
          <w:lang w:val="ru-RU"/>
        </w:rPr>
        <w:t>азмещения нестационарного торгового объекта (который не превышает 7 лет – для торгово-остановочных комплексов и 4 года 11 месяцев – для других нестационарных торговых объектов, на которые распространяется действие настоящего Положения), информация о местоп</w:t>
      </w:r>
      <w:r>
        <w:rPr>
          <w:rFonts w:ascii="Times New Roman" w:hAnsi="Times New Roman" w:cs="Times New Roman"/>
          <w:color w:val="00000A"/>
          <w:sz w:val="26"/>
          <w:szCs w:val="26"/>
          <w:lang w:val="ru-RU"/>
        </w:rPr>
        <w:t>оложении, а также предельная площадь объекта, рекомендованная по результатам рассмотрения на заседании Комиссии по вопросам размещения (установки) и эксплуатации нестационарных торговых объектов на территории города Челябинска (далее – Комиссия).</w:t>
      </w:r>
    </w:p>
    <w:p w:rsidR="00464795" w:rsidRDefault="00BC5D77">
      <w:pPr>
        <w:ind w:firstLine="709"/>
        <w:jc w:val="both"/>
        <w:rPr>
          <w:rFonts w:eastAsia="Arial"/>
          <w:sz w:val="26"/>
          <w:szCs w:val="26"/>
          <w:lang w:eastAsia="en-US" w:bidi="en-US"/>
        </w:rPr>
      </w:pPr>
      <w:r>
        <w:rPr>
          <w:rFonts w:eastAsia="Arial"/>
          <w:sz w:val="26"/>
          <w:szCs w:val="26"/>
          <w:lang w:eastAsia="en-US" w:bidi="en-US"/>
        </w:rPr>
        <w:t xml:space="preserve">К </w:t>
      </w:r>
      <w:r>
        <w:rPr>
          <w:rFonts w:eastAsia="Arial"/>
          <w:sz w:val="26"/>
          <w:szCs w:val="26"/>
          <w:lang w:eastAsia="en-US" w:bidi="en-US"/>
        </w:rPr>
        <w:t>Заявлению о размещении прилагаются:</w:t>
      </w:r>
    </w:p>
    <w:p w:rsidR="00464795" w:rsidRDefault="00BC5D77">
      <w:pPr>
        <w:ind w:firstLine="709"/>
        <w:jc w:val="both"/>
        <w:rPr>
          <w:rFonts w:eastAsia="Arial"/>
          <w:sz w:val="26"/>
          <w:szCs w:val="26"/>
          <w:lang w:eastAsia="en-US" w:bidi="en-US"/>
        </w:rPr>
      </w:pPr>
      <w:r>
        <w:rPr>
          <w:rFonts w:eastAsia="Arial"/>
          <w:sz w:val="26"/>
          <w:szCs w:val="26"/>
          <w:lang w:eastAsia="en-US" w:bidi="en-US"/>
        </w:rPr>
        <w:t>1) свидетельство о государственной регистрации (для юридических лиц и индивидуальных предпринимателей) в налоговом органе или лист записи соответствующего реестра – ЕГРЮЛ или ЕГРИП;</w:t>
      </w:r>
    </w:p>
    <w:p w:rsidR="00464795" w:rsidRDefault="00BC5D77">
      <w:pPr>
        <w:ind w:firstLine="709"/>
        <w:jc w:val="both"/>
        <w:rPr>
          <w:rFonts w:eastAsia="Arial"/>
          <w:sz w:val="26"/>
          <w:szCs w:val="26"/>
          <w:lang w:eastAsia="en-US" w:bidi="en-US"/>
        </w:rPr>
      </w:pPr>
      <w:r>
        <w:rPr>
          <w:rFonts w:eastAsia="Arial"/>
          <w:sz w:val="26"/>
          <w:szCs w:val="26"/>
          <w:lang w:eastAsia="en-US" w:bidi="en-US"/>
        </w:rPr>
        <w:t>2) копия паспорта для индивидуальных п</w:t>
      </w:r>
      <w:r>
        <w:rPr>
          <w:rFonts w:eastAsia="Arial"/>
          <w:sz w:val="26"/>
          <w:szCs w:val="26"/>
          <w:lang w:eastAsia="en-US" w:bidi="en-US"/>
        </w:rPr>
        <w:t>редпринимателей;</w:t>
      </w:r>
    </w:p>
    <w:p w:rsidR="00464795" w:rsidRDefault="00BC5D77">
      <w:pPr>
        <w:ind w:firstLine="709"/>
        <w:jc w:val="both"/>
        <w:rPr>
          <w:rFonts w:eastAsia="Arial"/>
          <w:sz w:val="26"/>
          <w:szCs w:val="26"/>
          <w:lang w:eastAsia="en-US" w:bidi="en-US"/>
        </w:rPr>
      </w:pPr>
      <w:r>
        <w:rPr>
          <w:rFonts w:eastAsia="Arial"/>
          <w:sz w:val="26"/>
          <w:szCs w:val="26"/>
          <w:lang w:eastAsia="en-US" w:bidi="en-US"/>
        </w:rPr>
        <w:t xml:space="preserve">3) типовой эскизный проект нестационарного торгового объекта, размещенный на официальном сайте Комитета градостроительства и архитектуры города </w:t>
      </w:r>
      <w:r>
        <w:rPr>
          <w:rFonts w:eastAsia="Arial"/>
          <w:sz w:val="26"/>
          <w:szCs w:val="26"/>
          <w:lang w:eastAsia="en-US" w:bidi="en-US"/>
        </w:rPr>
        <w:lastRenderedPageBreak/>
        <w:t>Челябинска (далее – КГА г. Челябинска) (за исключением торгово-выставочных площадок).»;</w:t>
      </w:r>
    </w:p>
    <w:p w:rsidR="00464795" w:rsidRDefault="00BC5D77">
      <w:pPr>
        <w:ind w:firstLine="709"/>
        <w:jc w:val="both"/>
        <w:rPr>
          <w:rFonts w:eastAsia="Arial"/>
          <w:sz w:val="26"/>
          <w:szCs w:val="26"/>
          <w:lang w:eastAsia="en-US" w:bidi="en-US"/>
        </w:rPr>
      </w:pPr>
      <w:r>
        <w:rPr>
          <w:rFonts w:eastAsia="Arial"/>
          <w:sz w:val="26"/>
          <w:szCs w:val="26"/>
          <w:lang w:eastAsia="en-US" w:bidi="en-US"/>
        </w:rPr>
        <w:t>2) абза</w:t>
      </w:r>
      <w:r>
        <w:rPr>
          <w:rFonts w:eastAsia="Arial"/>
          <w:sz w:val="26"/>
          <w:szCs w:val="26"/>
          <w:lang w:eastAsia="en-US" w:bidi="en-US"/>
        </w:rPr>
        <w:t>ц 6 пункта 12 изложить в следующей редакции:</w:t>
      </w:r>
    </w:p>
    <w:p w:rsidR="00464795" w:rsidRDefault="00BC5D77">
      <w:pPr>
        <w:ind w:firstLine="709"/>
        <w:jc w:val="both"/>
        <w:rPr>
          <w:rFonts w:eastAsia="Arial"/>
          <w:sz w:val="26"/>
          <w:szCs w:val="26"/>
          <w:lang w:eastAsia="en-US" w:bidi="en-US"/>
        </w:rPr>
      </w:pPr>
      <w:r>
        <w:rPr>
          <w:rFonts w:eastAsia="Arial"/>
          <w:sz w:val="26"/>
          <w:szCs w:val="26"/>
          <w:lang w:eastAsia="en-US" w:bidi="en-US"/>
        </w:rPr>
        <w:t>«В случае несоответствия сведений об объекте (о местоположении, предельной площади, типе нестационарного торгового объекта, с учетом его специализации (при наличии сведений в Схеме), сроке действия договора на р</w:t>
      </w:r>
      <w:r>
        <w:rPr>
          <w:rFonts w:eastAsia="Arial"/>
          <w:sz w:val="26"/>
          <w:szCs w:val="26"/>
          <w:lang w:eastAsia="en-US" w:bidi="en-US"/>
        </w:rPr>
        <w:t>азмещение, реквизитах правового акта о включении в Схему), указанных в Заявлениях от иных индивидуальных предпринимателей, юридических лиц, сведениям, опубликованным в информационном сообщении, и (или) поступлении заявлений от иных лиц, не указанных в пунк</w:t>
      </w:r>
      <w:r>
        <w:rPr>
          <w:rFonts w:eastAsia="Arial"/>
          <w:sz w:val="26"/>
          <w:szCs w:val="26"/>
          <w:lang w:eastAsia="en-US" w:bidi="en-US"/>
        </w:rPr>
        <w:t>те 4 Положения, а также непредоставления документов, указанных в пункте 10 Положения, Управление по торговле направляет в адрес данных заявителей уведомление об отказе в принятии представленных Заявлений к рассмотрению.».</w:t>
      </w:r>
    </w:p>
    <w:p w:rsidR="00464795" w:rsidRDefault="00BC5D77">
      <w:pPr>
        <w:pStyle w:val="ConsPlusNormal"/>
        <w:ind w:firstLine="709"/>
        <w:jc w:val="both"/>
      </w:pPr>
      <w:r>
        <w:t>3) дополнить приложение пунктом сл</w:t>
      </w:r>
      <w:r>
        <w:t>едующего содержания:</w:t>
      </w:r>
    </w:p>
    <w:p w:rsidR="00464795" w:rsidRDefault="00BC5D77">
      <w:pPr>
        <w:pStyle w:val="ConsPlusNormal"/>
        <w:ind w:firstLine="709"/>
        <w:jc w:val="both"/>
        <w:rPr>
          <w:rFonts w:eastAsia="Arial"/>
          <w:lang w:eastAsia="en-US" w:bidi="en-US"/>
        </w:rPr>
      </w:pPr>
      <w:r>
        <w:t>«12-1. Проведение аукциона на право заключения договора на размещение в отношении включенного в Схему нестационарного торгового объекта по инициативе Управления по торговле осуществляется без размещения информационного сообщения о предстоящем размещении не</w:t>
      </w:r>
      <w:r>
        <w:t xml:space="preserve">стационарного торгового объекта, указанного в пункте 5 Положения. </w:t>
      </w:r>
      <w:r>
        <w:rPr>
          <w:rFonts w:eastAsia="Arial"/>
          <w:lang w:eastAsia="en-US" w:bidi="en-US"/>
        </w:rPr>
        <w:t>В случае если в течение трех месяцев с момента включения места в Схему, при условии отсутствия действующего договора на размещение, Управление по торговле направляет в Уполномоченный орган у</w:t>
      </w:r>
      <w:r>
        <w:rPr>
          <w:rFonts w:eastAsia="Arial"/>
          <w:lang w:eastAsia="en-US" w:bidi="en-US"/>
        </w:rPr>
        <w:t xml:space="preserve">ведомление о необходимости проведения аукциона на право заключения договора на размещение </w:t>
      </w:r>
      <w:r>
        <w:t>в течение 10 дней после заседания Комиссии и принятия решения о возможности заключения договора на размещение при условии получения заключения КГА г. Челябинска о воз</w:t>
      </w:r>
      <w:r>
        <w:t>можности проведения таких аукционов, с учетом соблюдения действующих санитарных норм, градостроительных правил и других обязательных требований, а также предельной площади объектов.».</w:t>
      </w:r>
    </w:p>
    <w:p w:rsidR="00464795" w:rsidRDefault="00BC5D77">
      <w:pPr>
        <w:pStyle w:val="ConsPlusNormal"/>
        <w:ind w:firstLine="709"/>
        <w:jc w:val="both"/>
      </w:pPr>
      <w:r>
        <w:t>2. Управлению информационной политики Администрации города Челябинска (С</w:t>
      </w:r>
      <w:r>
        <w:t>афонов В. А.) 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Администрации города Челябинска в сети Интернет.</w:t>
      </w:r>
    </w:p>
    <w:p w:rsidR="00464795" w:rsidRDefault="00BC5D77">
      <w:pPr>
        <w:pStyle w:val="ConsPlusNormal"/>
        <w:ind w:firstLine="709"/>
        <w:jc w:val="both"/>
      </w:pPr>
      <w:r>
        <w:t>3. Внести на</w:t>
      </w:r>
      <w:r>
        <w:t xml:space="preserve">стоящее постановление в раздел 5 «Земельные отношения и </w:t>
      </w:r>
      <w:r>
        <w:br/>
        <w:t xml:space="preserve">природопользование» нормативной правовой базы местного самоуправления </w:t>
      </w:r>
      <w:r>
        <w:br/>
        <w:t>города Челябинска.</w:t>
      </w:r>
    </w:p>
    <w:p w:rsidR="00464795" w:rsidRDefault="00BC5D77">
      <w:pPr>
        <w:pStyle w:val="ConsPlusNormal"/>
        <w:ind w:firstLine="709"/>
        <w:jc w:val="both"/>
      </w:pPr>
      <w:r>
        <w:t>4. Контроль за исполнением настоящего постановления возложить на временно исполняющего обязанности заместител</w:t>
      </w:r>
      <w:r>
        <w:t>я Главы города по правовым и имущественным вопросам Чигинцева С. А., заместителя Главы города по экономике и финансам Мурзину Е. В.</w:t>
      </w:r>
    </w:p>
    <w:p w:rsidR="00464795" w:rsidRDefault="00BC5D77">
      <w:pPr>
        <w:pStyle w:val="ConsPlusNormal"/>
        <w:ind w:firstLine="709"/>
        <w:jc w:val="both"/>
      </w:pPr>
      <w:r>
        <w:t>5. Настоящее постановление вступает в силу со дня его официального опубликования.</w:t>
      </w:r>
    </w:p>
    <w:p w:rsidR="00464795" w:rsidRDefault="00464795">
      <w:pPr>
        <w:pStyle w:val="ConsPlusNormal"/>
        <w:ind w:firstLine="540"/>
        <w:jc w:val="both"/>
        <w:rPr>
          <w:sz w:val="28"/>
          <w:szCs w:val="28"/>
        </w:rPr>
      </w:pPr>
    </w:p>
    <w:p w:rsidR="00464795" w:rsidRDefault="00464795">
      <w:pPr>
        <w:ind w:firstLine="540"/>
        <w:jc w:val="both"/>
        <w:outlineLvl w:val="0"/>
        <w:rPr>
          <w:sz w:val="16"/>
          <w:szCs w:val="16"/>
        </w:rPr>
      </w:pPr>
    </w:p>
    <w:p w:rsidR="00464795" w:rsidRDefault="00464795">
      <w:pPr>
        <w:ind w:firstLine="540"/>
        <w:jc w:val="both"/>
        <w:outlineLvl w:val="0"/>
        <w:rPr>
          <w:sz w:val="16"/>
          <w:szCs w:val="16"/>
        </w:rPr>
      </w:pPr>
    </w:p>
    <w:p w:rsidR="00464795" w:rsidRDefault="00BC5D77">
      <w:pPr>
        <w:tabs>
          <w:tab w:val="left" w:pos="1134"/>
        </w:tabs>
        <w:rPr>
          <w:sz w:val="26"/>
          <w:szCs w:val="26"/>
        </w:rPr>
      </w:pPr>
      <w:r>
        <w:rPr>
          <w:sz w:val="26"/>
          <w:szCs w:val="26"/>
        </w:rPr>
        <w:t xml:space="preserve">Глава города Челябинска                </w:t>
      </w:r>
      <w:r>
        <w:rPr>
          <w:sz w:val="26"/>
          <w:szCs w:val="26"/>
        </w:rPr>
        <w:t xml:space="preserve">                                                           В. А. Елистратов</w:t>
      </w:r>
    </w:p>
    <w:p w:rsidR="00464795" w:rsidRDefault="00464795">
      <w:pPr>
        <w:tabs>
          <w:tab w:val="left" w:pos="1134"/>
        </w:tabs>
        <w:rPr>
          <w:sz w:val="22"/>
          <w:szCs w:val="22"/>
        </w:rPr>
      </w:pPr>
    </w:p>
    <w:p w:rsidR="00464795" w:rsidRDefault="00464795">
      <w:pPr>
        <w:tabs>
          <w:tab w:val="left" w:pos="1134"/>
        </w:tabs>
        <w:rPr>
          <w:sz w:val="22"/>
          <w:szCs w:val="22"/>
        </w:rPr>
      </w:pPr>
    </w:p>
    <w:p w:rsidR="00464795" w:rsidRDefault="00464795">
      <w:pPr>
        <w:tabs>
          <w:tab w:val="left" w:pos="1134"/>
        </w:tabs>
        <w:rPr>
          <w:sz w:val="30"/>
          <w:szCs w:val="30"/>
        </w:rPr>
      </w:pPr>
    </w:p>
    <w:p w:rsidR="00464795" w:rsidRDefault="00BC5D77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Т. Н. Коробкова</w:t>
      </w:r>
    </w:p>
    <w:p w:rsidR="00464795" w:rsidRDefault="00BC5D77">
      <w:pPr>
        <w:tabs>
          <w:tab w:val="left" w:pos="1134"/>
        </w:tabs>
      </w:pPr>
      <w:r>
        <w:rPr>
          <w:sz w:val="22"/>
          <w:szCs w:val="22"/>
        </w:rPr>
        <w:t>265 39 45</w:t>
      </w:r>
    </w:p>
    <w:sectPr w:rsidR="00464795">
      <w:headerReference w:type="default" r:id="rId8"/>
      <w:pgSz w:w="11906" w:h="16838"/>
      <w:pgMar w:top="992" w:right="567" w:bottom="1134" w:left="1701" w:header="720" w:footer="0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D77" w:rsidRDefault="00BC5D77">
      <w:r>
        <w:separator/>
      </w:r>
    </w:p>
  </w:endnote>
  <w:endnote w:type="continuationSeparator" w:id="0">
    <w:p w:rsidR="00BC5D77" w:rsidRDefault="00BC5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D77" w:rsidRDefault="00BC5D77">
      <w:r>
        <w:separator/>
      </w:r>
    </w:p>
  </w:footnote>
  <w:footnote w:type="continuationSeparator" w:id="0">
    <w:p w:rsidR="00BC5D77" w:rsidRDefault="00BC5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795" w:rsidRDefault="00BC5D77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 w:rsidR="00174543">
      <w:rPr>
        <w:noProof/>
      </w:rPr>
      <w:t>2</w:t>
    </w:r>
    <w:r>
      <w:fldChar w:fldCharType="end"/>
    </w:r>
  </w:p>
  <w:p w:rsidR="00464795" w:rsidRDefault="0046479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795"/>
    <w:rsid w:val="00174543"/>
    <w:rsid w:val="00464795"/>
    <w:rsid w:val="00BC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47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72F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B72F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шрифт абзаца2"/>
    <w:qFormat/>
    <w:rsid w:val="00C037B2"/>
  </w:style>
  <w:style w:type="character" w:customStyle="1" w:styleId="a5">
    <w:name w:val="Гипертекстовая ссылка"/>
    <w:basedOn w:val="a0"/>
    <w:uiPriority w:val="99"/>
    <w:qFormat/>
    <w:rsid w:val="00E639F1"/>
    <w:rPr>
      <w:color w:val="106BBE"/>
    </w:rPr>
  </w:style>
  <w:style w:type="character" w:customStyle="1" w:styleId="a6">
    <w:name w:val="Цветовое выделение"/>
    <w:uiPriority w:val="99"/>
    <w:qFormat/>
    <w:rsid w:val="000A5B0F"/>
    <w:rPr>
      <w:b/>
      <w:bCs/>
      <w:color w:val="26282F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B72F47"/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paragraph" w:styleId="ac">
    <w:name w:val="header"/>
    <w:basedOn w:val="a"/>
    <w:uiPriority w:val="99"/>
    <w:unhideWhenUsed/>
    <w:rsid w:val="00B72F47"/>
    <w:pPr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unhideWhenUsed/>
    <w:qFormat/>
    <w:rsid w:val="00B72F47"/>
    <w:rPr>
      <w:rFonts w:ascii="Tahoma" w:hAnsi="Tahoma" w:cs="Tahoma"/>
      <w:sz w:val="16"/>
      <w:szCs w:val="16"/>
    </w:rPr>
  </w:style>
  <w:style w:type="paragraph" w:customStyle="1" w:styleId="ConsPlusDocList">
    <w:name w:val="ConsPlusDocList"/>
    <w:qFormat/>
    <w:rsid w:val="00C037B2"/>
    <w:pPr>
      <w:widowControl w:val="0"/>
      <w:suppressAutoHyphens/>
    </w:pPr>
    <w:rPr>
      <w:rFonts w:ascii="Arial" w:eastAsia="Arial" w:hAnsi="Arial" w:cs="Arial"/>
      <w:color w:val="000000"/>
      <w:szCs w:val="20"/>
      <w:lang w:val="en-US" w:bidi="en-US"/>
    </w:rPr>
  </w:style>
  <w:style w:type="table" w:styleId="ae">
    <w:name w:val="Table Grid"/>
    <w:basedOn w:val="a1"/>
    <w:uiPriority w:val="59"/>
    <w:rsid w:val="00490F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47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72F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B72F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шрифт абзаца2"/>
    <w:qFormat/>
    <w:rsid w:val="00C037B2"/>
  </w:style>
  <w:style w:type="character" w:customStyle="1" w:styleId="a5">
    <w:name w:val="Гипертекстовая ссылка"/>
    <w:basedOn w:val="a0"/>
    <w:uiPriority w:val="99"/>
    <w:qFormat/>
    <w:rsid w:val="00E639F1"/>
    <w:rPr>
      <w:color w:val="106BBE"/>
    </w:rPr>
  </w:style>
  <w:style w:type="character" w:customStyle="1" w:styleId="a6">
    <w:name w:val="Цветовое выделение"/>
    <w:uiPriority w:val="99"/>
    <w:qFormat/>
    <w:rsid w:val="000A5B0F"/>
    <w:rPr>
      <w:b/>
      <w:bCs/>
      <w:color w:val="26282F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B72F47"/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paragraph" w:styleId="ac">
    <w:name w:val="header"/>
    <w:basedOn w:val="a"/>
    <w:uiPriority w:val="99"/>
    <w:unhideWhenUsed/>
    <w:rsid w:val="00B72F47"/>
    <w:pPr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unhideWhenUsed/>
    <w:qFormat/>
    <w:rsid w:val="00B72F47"/>
    <w:rPr>
      <w:rFonts w:ascii="Tahoma" w:hAnsi="Tahoma" w:cs="Tahoma"/>
      <w:sz w:val="16"/>
      <w:szCs w:val="16"/>
    </w:rPr>
  </w:style>
  <w:style w:type="paragraph" w:customStyle="1" w:styleId="ConsPlusDocList">
    <w:name w:val="ConsPlusDocList"/>
    <w:qFormat/>
    <w:rsid w:val="00C037B2"/>
    <w:pPr>
      <w:widowControl w:val="0"/>
      <w:suppressAutoHyphens/>
    </w:pPr>
    <w:rPr>
      <w:rFonts w:ascii="Arial" w:eastAsia="Arial" w:hAnsi="Arial" w:cs="Arial"/>
      <w:color w:val="000000"/>
      <w:szCs w:val="20"/>
      <w:lang w:val="en-US" w:bidi="en-US"/>
    </w:rPr>
  </w:style>
  <w:style w:type="table" w:styleId="ae">
    <w:name w:val="Table Grid"/>
    <w:basedOn w:val="a1"/>
    <w:uiPriority w:val="59"/>
    <w:rsid w:val="00490F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EA7C5-D96D-41E7-A32D-FF6F49F2D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Груненкова Нина Александровна</cp:lastModifiedBy>
  <cp:revision>2</cp:revision>
  <cp:lastPrinted>2019-04-10T05:43:00Z</cp:lastPrinted>
  <dcterms:created xsi:type="dcterms:W3CDTF">2019-06-03T07:28:00Z</dcterms:created>
  <dcterms:modified xsi:type="dcterms:W3CDTF">2019-06-03T07:28:00Z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Computer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